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552F" w14:textId="44618F1F" w:rsidR="005F010F" w:rsidRPr="005F010F" w:rsidRDefault="005F010F" w:rsidP="005F010F">
      <w:pPr>
        <w:jc w:val="center"/>
        <w:rPr>
          <w:rFonts w:ascii="Baskerville" w:hAnsi="Baskerville"/>
          <w:b/>
          <w:bCs/>
        </w:rPr>
      </w:pPr>
      <w:r w:rsidRPr="005F010F">
        <w:rPr>
          <w:rFonts w:ascii="Baskerville" w:hAnsi="Baskerville"/>
          <w:b/>
          <w:bCs/>
        </w:rPr>
        <w:t>Key Terms and Concepts</w:t>
      </w:r>
    </w:p>
    <w:p w14:paraId="6DBC794B" w14:textId="37C75A8E" w:rsidR="005F010F" w:rsidRPr="005F010F" w:rsidRDefault="005F010F" w:rsidP="005F010F">
      <w:pPr>
        <w:jc w:val="center"/>
        <w:rPr>
          <w:rFonts w:ascii="Baskerville" w:hAnsi="Baskerville"/>
          <w:b/>
          <w:bCs/>
        </w:rPr>
      </w:pPr>
      <w:r w:rsidRPr="005F010F">
        <w:rPr>
          <w:rFonts w:ascii="Baskerville" w:hAnsi="Baskerville"/>
          <w:b/>
          <w:bCs/>
        </w:rPr>
        <w:t>Exam 1</w:t>
      </w:r>
    </w:p>
    <w:p w14:paraId="6567EA1C" w14:textId="77777777" w:rsidR="005F010F" w:rsidRDefault="005F010F">
      <w:pPr>
        <w:rPr>
          <w:rFonts w:ascii="Baskerville" w:hAnsi="Baskerville"/>
        </w:rPr>
      </w:pPr>
    </w:p>
    <w:p w14:paraId="24446696" w14:textId="4E5C2F65" w:rsidR="005F010F" w:rsidRDefault="005F010F">
      <w:pPr>
        <w:rPr>
          <w:rFonts w:ascii="Baskerville" w:hAnsi="Baskerville"/>
        </w:rPr>
      </w:pPr>
      <w:r>
        <w:rPr>
          <w:rFonts w:ascii="Baskerville" w:hAnsi="Baskerville"/>
        </w:rPr>
        <w:t xml:space="preserve">As you study for Exam 1, focus on the following terms and concepts. Questions may ask you to identify the correct definition or apply the term or concept to a scenario. For each term, make sure </w:t>
      </w:r>
      <w:r w:rsidR="00712EF7">
        <w:rPr>
          <w:rFonts w:ascii="Baskerville" w:hAnsi="Baskerville"/>
        </w:rPr>
        <w:t xml:space="preserve">to read more than just the definition – you should be able to explain it to someone who hasn’t read the text and offer examples. Use the optional study sources in your </w:t>
      </w:r>
      <w:proofErr w:type="spellStart"/>
      <w:r w:rsidR="00712EF7">
        <w:rPr>
          <w:rFonts w:ascii="Baskerville" w:hAnsi="Baskerville"/>
        </w:rPr>
        <w:t>ebook</w:t>
      </w:r>
      <w:proofErr w:type="spellEnd"/>
      <w:r w:rsidR="00712EF7">
        <w:rPr>
          <w:rFonts w:ascii="Baskerville" w:hAnsi="Baskerville"/>
        </w:rPr>
        <w:t xml:space="preserve"> and on Canvas to help yourself study!</w:t>
      </w:r>
    </w:p>
    <w:p w14:paraId="0BDC2EC3" w14:textId="77777777" w:rsidR="005F010F" w:rsidRPr="005F010F" w:rsidRDefault="005F010F">
      <w:pPr>
        <w:rPr>
          <w:rFonts w:ascii="Baskerville" w:hAnsi="Baskerville"/>
        </w:rPr>
      </w:pPr>
    </w:p>
    <w:p w14:paraId="5D9727B4" w14:textId="77777777" w:rsidR="00C55167" w:rsidRDefault="00C55167">
      <w:pPr>
        <w:rPr>
          <w:rFonts w:ascii="Baskerville" w:hAnsi="Baskerville"/>
          <w:u w:val="single"/>
        </w:rPr>
        <w:sectPr w:rsidR="00C551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23A794" w14:textId="1F9977D7" w:rsidR="005F010F" w:rsidRPr="005F010F" w:rsidRDefault="005F010F">
      <w:pPr>
        <w:rPr>
          <w:rFonts w:ascii="Baskerville" w:hAnsi="Baskerville"/>
          <w:u w:val="single"/>
        </w:rPr>
      </w:pPr>
      <w:r w:rsidRPr="005F010F">
        <w:rPr>
          <w:rFonts w:ascii="Baskerville" w:hAnsi="Baskerville"/>
          <w:u w:val="single"/>
        </w:rPr>
        <w:t>Module 5: Group Processes</w:t>
      </w:r>
    </w:p>
    <w:p w14:paraId="7D152680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Groups</w:t>
      </w:r>
    </w:p>
    <w:p w14:paraId="2F72F9A2" w14:textId="0B16E02E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Social support</w:t>
      </w:r>
      <w:r w:rsidR="00387142">
        <w:rPr>
          <w:rFonts w:ascii="Baskerville" w:hAnsi="Baskerville"/>
        </w:rPr>
        <w:t xml:space="preserve"> (including types of social support)</w:t>
      </w:r>
    </w:p>
    <w:p w14:paraId="68DF7C83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Group cohesion</w:t>
      </w:r>
    </w:p>
    <w:p w14:paraId="2688C696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Hazing</w:t>
      </w:r>
    </w:p>
    <w:p w14:paraId="68372BED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Initiation effect/effort justification</w:t>
      </w:r>
    </w:p>
    <w:p w14:paraId="279D0F39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Maltreatment effects</w:t>
      </w:r>
    </w:p>
    <w:p w14:paraId="4F5DB54E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Rejection sensitivity</w:t>
      </w:r>
    </w:p>
    <w:p w14:paraId="590142A2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Optimal distinctiveness theory</w:t>
      </w:r>
    </w:p>
    <w:p w14:paraId="20661DC4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Social facilitation</w:t>
      </w:r>
    </w:p>
    <w:p w14:paraId="0890A4AD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Coordination loss</w:t>
      </w:r>
    </w:p>
    <w:p w14:paraId="300A245D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Social loafing</w:t>
      </w:r>
    </w:p>
    <w:p w14:paraId="7ECFCE54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Diffusion of responsibility</w:t>
      </w:r>
    </w:p>
    <w:p w14:paraId="052B5E09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Cyberslacking</w:t>
      </w:r>
    </w:p>
    <w:p w14:paraId="3B928EA5" w14:textId="431BEAE5" w:rsidR="005F010F" w:rsidRPr="005F010F" w:rsidRDefault="00387142" w:rsidP="00387142">
      <w:pPr>
        <w:rPr>
          <w:rFonts w:ascii="Baskerville" w:hAnsi="Baskerville"/>
        </w:rPr>
      </w:pPr>
      <w:r>
        <w:rPr>
          <w:rFonts w:ascii="Baskerville" w:hAnsi="Baskerville"/>
        </w:rPr>
        <w:t>Types of leadership (task, social)</w:t>
      </w:r>
    </w:p>
    <w:p w14:paraId="00771D7F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Group decision making</w:t>
      </w:r>
    </w:p>
    <w:p w14:paraId="74B34489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Spiral of silence</w:t>
      </w:r>
    </w:p>
    <w:p w14:paraId="1C592CD7" w14:textId="77777777" w:rsidR="005F010F" w:rsidRPr="005F010F" w:rsidRDefault="005F010F" w:rsidP="005F010F">
      <w:pPr>
        <w:rPr>
          <w:rFonts w:ascii="Baskerville" w:hAnsi="Baskerville"/>
        </w:rPr>
      </w:pPr>
      <w:r w:rsidRPr="005F010F">
        <w:rPr>
          <w:rFonts w:ascii="Baskerville" w:hAnsi="Baskerville"/>
        </w:rPr>
        <w:t>Groupthink</w:t>
      </w:r>
    </w:p>
    <w:p w14:paraId="2FF3D8FC" w14:textId="77777777" w:rsidR="005F010F" w:rsidRPr="005F010F" w:rsidRDefault="005F010F">
      <w:pPr>
        <w:rPr>
          <w:rFonts w:ascii="Baskerville" w:hAnsi="Baskerville"/>
        </w:rPr>
      </w:pPr>
    </w:p>
    <w:p w14:paraId="52AE202C" w14:textId="01A72688" w:rsidR="005F010F" w:rsidRPr="005F010F" w:rsidRDefault="005F010F">
      <w:pPr>
        <w:rPr>
          <w:rFonts w:ascii="Baskerville" w:hAnsi="Baskerville"/>
        </w:rPr>
      </w:pPr>
      <w:r w:rsidRPr="005F010F">
        <w:rPr>
          <w:rFonts w:ascii="Baskerville" w:hAnsi="Baskerville"/>
          <w:u w:val="single"/>
        </w:rPr>
        <w:t>Module 6: The Social Self</w:t>
      </w:r>
    </w:p>
    <w:p w14:paraId="25D373B7" w14:textId="38D807C0" w:rsidR="00447DDA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Self-awareness</w:t>
      </w:r>
    </w:p>
    <w:p w14:paraId="66C7569D" w14:textId="73C75365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Darwin’s study of self-awareness</w:t>
      </w:r>
    </w:p>
    <w:p w14:paraId="40D73524" w14:textId="772BB997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Self-concept</w:t>
      </w:r>
    </w:p>
    <w:p w14:paraId="637BC619" w14:textId="1D856DFB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Upward social comparison</w:t>
      </w:r>
    </w:p>
    <w:p w14:paraId="22D8F08E" w14:textId="13EC7208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Social role characteristic</w:t>
      </w:r>
    </w:p>
    <w:p w14:paraId="70DF4930" w14:textId="5CA987F0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Self-schema</w:t>
      </w:r>
    </w:p>
    <w:p w14:paraId="39FC1109" w14:textId="090C9D97" w:rsidR="00D71B15" w:rsidRPr="005F010F" w:rsidRDefault="00712EF7">
      <w:pPr>
        <w:rPr>
          <w:rFonts w:ascii="Baskerville" w:hAnsi="Baskerville"/>
        </w:rPr>
      </w:pPr>
      <w:r>
        <w:rPr>
          <w:rFonts w:ascii="Baskerville" w:hAnsi="Baskerville"/>
        </w:rPr>
        <w:t>Actual self, ideal self, and ought self</w:t>
      </w:r>
    </w:p>
    <w:p w14:paraId="157EF9A4" w14:textId="35E10533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Impression management</w:t>
      </w:r>
    </w:p>
    <w:p w14:paraId="14914388" w14:textId="18CD214A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Conspicuous consumption</w:t>
      </w:r>
    </w:p>
    <w:p w14:paraId="1082E1F6" w14:textId="3DD95F23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Self-monitoring</w:t>
      </w:r>
    </w:p>
    <w:p w14:paraId="57239885" w14:textId="75A30592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Ingratiation</w:t>
      </w:r>
    </w:p>
    <w:p w14:paraId="3F51C8EC" w14:textId="6E97480F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Self-presentation theory</w:t>
      </w:r>
    </w:p>
    <w:p w14:paraId="3CB46927" w14:textId="145ABBE5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Collective self-esteem</w:t>
      </w:r>
    </w:p>
    <w:p w14:paraId="77E7050C" w14:textId="2B721128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Self-deception</w:t>
      </w:r>
      <w:r w:rsidR="00387142">
        <w:rPr>
          <w:rFonts w:ascii="Baskerville" w:hAnsi="Baskerville"/>
        </w:rPr>
        <w:t xml:space="preserve"> (definition, types of </w:t>
      </w:r>
      <w:proofErr w:type="gramStart"/>
      <w:r w:rsidR="00387142">
        <w:rPr>
          <w:rFonts w:ascii="Baskerville" w:hAnsi="Baskerville"/>
        </w:rPr>
        <w:t>self-deception</w:t>
      </w:r>
      <w:proofErr w:type="gramEnd"/>
      <w:r w:rsidR="00387142">
        <w:rPr>
          <w:rFonts w:ascii="Baskerville" w:hAnsi="Baskerville"/>
        </w:rPr>
        <w:t>, possible benefits)</w:t>
      </w:r>
    </w:p>
    <w:p w14:paraId="21A33141" w14:textId="26150880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Self-esteem</w:t>
      </w:r>
    </w:p>
    <w:p w14:paraId="0FF3DC56" w14:textId="72BD0F56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Self-compassion</w:t>
      </w:r>
    </w:p>
    <w:p w14:paraId="6C5BEAF0" w14:textId="77777777" w:rsidR="005F010F" w:rsidRPr="005F010F" w:rsidRDefault="005F010F">
      <w:pPr>
        <w:rPr>
          <w:rFonts w:ascii="Baskerville" w:hAnsi="Baskerville"/>
        </w:rPr>
      </w:pPr>
    </w:p>
    <w:p w14:paraId="4233765F" w14:textId="17F136E2" w:rsidR="005F010F" w:rsidRPr="005F010F" w:rsidRDefault="005F010F">
      <w:pPr>
        <w:rPr>
          <w:rFonts w:ascii="Baskerville" w:hAnsi="Baskerville"/>
        </w:rPr>
      </w:pPr>
      <w:r w:rsidRPr="005F010F">
        <w:rPr>
          <w:rFonts w:ascii="Baskerville" w:hAnsi="Baskerville"/>
          <w:u w:val="single"/>
        </w:rPr>
        <w:t>Module 7: Attitudes and Persuasion</w:t>
      </w:r>
    </w:p>
    <w:p w14:paraId="5A02468F" w14:textId="1D50DCCD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Attitude</w:t>
      </w:r>
    </w:p>
    <w:p w14:paraId="6CF376A8" w14:textId="2E01107D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Dual attitude</w:t>
      </w:r>
    </w:p>
    <w:p w14:paraId="79E24540" w14:textId="5FA676E4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Affect, behavior, cognition (re: attitude formation)</w:t>
      </w:r>
    </w:p>
    <w:p w14:paraId="36766038" w14:textId="7D2B2921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Implicit and explicit attitudes</w:t>
      </w:r>
    </w:p>
    <w:p w14:paraId="7BD5D923" w14:textId="285EDC4E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Facial feedback hypothesis</w:t>
      </w:r>
    </w:p>
    <w:p w14:paraId="5A36713A" w14:textId="3B02DEC0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Self-affirmation theory</w:t>
      </w:r>
    </w:p>
    <w:p w14:paraId="78283567" w14:textId="3693F42E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Social learning theory</w:t>
      </w:r>
    </w:p>
    <w:p w14:paraId="650B5DFA" w14:textId="68707A43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Self-justification</w:t>
      </w:r>
    </w:p>
    <w:p w14:paraId="3E0F4DEE" w14:textId="4872C342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Cognitive dissonance</w:t>
      </w:r>
    </w:p>
    <w:p w14:paraId="4DAE94AF" w14:textId="77777777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Types of persuasion</w:t>
      </w:r>
    </w:p>
    <w:p w14:paraId="7291C148" w14:textId="77777777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McGuire’s six step model of persuasion</w:t>
      </w:r>
    </w:p>
    <w:p w14:paraId="234CC158" w14:textId="2FE8D9B2" w:rsidR="00D71B15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Credibility</w:t>
      </w:r>
    </w:p>
    <w:p w14:paraId="3DD677A5" w14:textId="77777777" w:rsidR="00D67D6F" w:rsidRPr="005F010F" w:rsidRDefault="00D71B15">
      <w:pPr>
        <w:rPr>
          <w:rFonts w:ascii="Baskerville" w:hAnsi="Baskerville"/>
        </w:rPr>
      </w:pPr>
      <w:r w:rsidRPr="005F010F">
        <w:rPr>
          <w:rFonts w:ascii="Baskerville" w:hAnsi="Baskerville"/>
        </w:rPr>
        <w:t>Peripheral attributes</w:t>
      </w:r>
    </w:p>
    <w:p w14:paraId="742B54D5" w14:textId="77777777" w:rsidR="00D67D6F" w:rsidRPr="005F010F" w:rsidRDefault="00D67D6F">
      <w:pPr>
        <w:rPr>
          <w:rFonts w:ascii="Baskerville" w:hAnsi="Baskerville"/>
        </w:rPr>
      </w:pPr>
      <w:r w:rsidRPr="005F010F">
        <w:rPr>
          <w:rFonts w:ascii="Baskerville" w:hAnsi="Baskerville"/>
        </w:rPr>
        <w:t>Lowball technique</w:t>
      </w:r>
    </w:p>
    <w:p w14:paraId="2A439433" w14:textId="77777777" w:rsidR="00D67D6F" w:rsidRPr="005F010F" w:rsidRDefault="00D67D6F">
      <w:pPr>
        <w:rPr>
          <w:rFonts w:ascii="Baskerville" w:hAnsi="Baskerville"/>
        </w:rPr>
      </w:pPr>
      <w:r w:rsidRPr="005F010F">
        <w:rPr>
          <w:rFonts w:ascii="Baskerville" w:hAnsi="Baskerville"/>
        </w:rPr>
        <w:t>Foot-in-the-door technique</w:t>
      </w:r>
    </w:p>
    <w:p w14:paraId="1CD18BB5" w14:textId="77777777" w:rsidR="00D67D6F" w:rsidRPr="005F010F" w:rsidRDefault="00D67D6F">
      <w:pPr>
        <w:rPr>
          <w:rFonts w:ascii="Baskerville" w:hAnsi="Baskerville"/>
        </w:rPr>
      </w:pPr>
      <w:r w:rsidRPr="005F010F">
        <w:rPr>
          <w:rFonts w:ascii="Baskerville" w:hAnsi="Baskerville"/>
        </w:rPr>
        <w:t>Norm of reciprocity</w:t>
      </w:r>
    </w:p>
    <w:p w14:paraId="11490D3A" w14:textId="77777777" w:rsidR="00C55167" w:rsidRDefault="00C55167">
      <w:pPr>
        <w:rPr>
          <w:rFonts w:ascii="Baskerville" w:hAnsi="Baskerville"/>
        </w:rPr>
        <w:sectPr w:rsidR="00C55167" w:rsidSect="00C551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B98694" w14:textId="0ADB11DD" w:rsidR="00D71B15" w:rsidRPr="005F010F" w:rsidRDefault="00D71B15">
      <w:pPr>
        <w:rPr>
          <w:rFonts w:ascii="Baskerville" w:hAnsi="Baskerville"/>
        </w:rPr>
      </w:pPr>
    </w:p>
    <w:p w14:paraId="2EA22910" w14:textId="77777777" w:rsidR="00D71B15" w:rsidRPr="005F010F" w:rsidRDefault="00D71B15">
      <w:pPr>
        <w:rPr>
          <w:rFonts w:ascii="Baskerville" w:hAnsi="Baskerville"/>
        </w:rPr>
      </w:pPr>
    </w:p>
    <w:sectPr w:rsidR="00D71B15" w:rsidRPr="005F010F" w:rsidSect="00C551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15"/>
    <w:rsid w:val="00387142"/>
    <w:rsid w:val="00447DDA"/>
    <w:rsid w:val="005F010F"/>
    <w:rsid w:val="00712EF7"/>
    <w:rsid w:val="00BF5B18"/>
    <w:rsid w:val="00C55167"/>
    <w:rsid w:val="00CC32F8"/>
    <w:rsid w:val="00D67D6F"/>
    <w:rsid w:val="00D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7D9A3"/>
  <w15:chartTrackingRefBased/>
  <w15:docId w15:val="{C4AFBD64-E012-364C-80A2-9D6A165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Lindsay E.</dc:creator>
  <cp:keywords/>
  <dc:description/>
  <cp:lastModifiedBy>Marshall, Lindsay E.</cp:lastModifiedBy>
  <cp:revision>3</cp:revision>
  <dcterms:created xsi:type="dcterms:W3CDTF">2021-10-06T02:56:00Z</dcterms:created>
  <dcterms:modified xsi:type="dcterms:W3CDTF">2021-10-06T03:37:00Z</dcterms:modified>
</cp:coreProperties>
</file>