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003D" w14:textId="6AC94A75" w:rsidR="007F6EFF" w:rsidRPr="001561FD" w:rsidRDefault="007F6EFF" w:rsidP="007F6EFF">
      <w:pPr>
        <w:jc w:val="center"/>
        <w:rPr>
          <w:rFonts w:ascii="Garamond" w:hAnsi="Garamond"/>
          <w:b/>
          <w:color w:val="000000" w:themeColor="text1"/>
          <w:sz w:val="24"/>
          <w:szCs w:val="24"/>
        </w:rPr>
      </w:pPr>
      <w:r w:rsidRPr="001561FD">
        <w:rPr>
          <w:rFonts w:ascii="Garamond" w:hAnsi="Garamond"/>
          <w:b/>
          <w:color w:val="000000" w:themeColor="text1"/>
          <w:sz w:val="24"/>
          <w:szCs w:val="24"/>
        </w:rPr>
        <w:t xml:space="preserve">List of Potential Questions for </w:t>
      </w:r>
      <w:r w:rsidR="00FA02AB">
        <w:rPr>
          <w:rFonts w:ascii="Garamond" w:hAnsi="Garamond"/>
          <w:b/>
          <w:color w:val="000000" w:themeColor="text1"/>
          <w:sz w:val="24"/>
          <w:szCs w:val="24"/>
        </w:rPr>
        <w:t>EMAD 5442</w:t>
      </w:r>
      <w:r w:rsidRPr="001561FD">
        <w:rPr>
          <w:rFonts w:ascii="Garamond" w:hAnsi="Garamond"/>
          <w:b/>
          <w:color w:val="000000" w:themeColor="text1"/>
          <w:sz w:val="24"/>
          <w:szCs w:val="24"/>
        </w:rPr>
        <w:t xml:space="preserve"> Final Exam</w:t>
      </w:r>
    </w:p>
    <w:p w14:paraId="25AD2257" w14:textId="77777777" w:rsidR="008B2F61" w:rsidRPr="001561FD" w:rsidRDefault="008B2F61" w:rsidP="008B2F61">
      <w:pPr>
        <w:jc w:val="both"/>
        <w:rPr>
          <w:rFonts w:ascii="Garamond" w:hAnsi="Garamond"/>
          <w:i/>
          <w:color w:val="000000" w:themeColor="text1"/>
          <w:sz w:val="24"/>
          <w:szCs w:val="24"/>
        </w:rPr>
      </w:pPr>
      <w:r w:rsidRPr="001561FD">
        <w:rPr>
          <w:rFonts w:ascii="Garamond" w:hAnsi="Garamond"/>
          <w:i/>
          <w:color w:val="000000" w:themeColor="text1"/>
          <w:sz w:val="24"/>
          <w:szCs w:val="24"/>
        </w:rPr>
        <w:t>Note 1: This list of potential questions focuses on material covered in class since the midterm</w:t>
      </w:r>
      <w:r w:rsidR="007A1B29" w:rsidRPr="001561FD">
        <w:rPr>
          <w:rFonts w:ascii="Garamond" w:hAnsi="Garamond"/>
          <w:i/>
          <w:color w:val="000000" w:themeColor="text1"/>
          <w:sz w:val="24"/>
          <w:szCs w:val="24"/>
        </w:rPr>
        <w:t xml:space="preserve">. There will be </w:t>
      </w:r>
      <w:r w:rsidR="00DC7C7D" w:rsidRPr="0031191E">
        <w:rPr>
          <w:rFonts w:ascii="Garamond" w:hAnsi="Garamond"/>
          <w:b/>
          <w:i/>
          <w:color w:val="000000" w:themeColor="text1"/>
          <w:sz w:val="24"/>
          <w:szCs w:val="24"/>
        </w:rPr>
        <w:t>five</w:t>
      </w:r>
      <w:r w:rsidR="00DC7C7D" w:rsidRPr="001561FD">
        <w:rPr>
          <w:rFonts w:ascii="Garamond" w:hAnsi="Garamond"/>
          <w:i/>
          <w:color w:val="000000" w:themeColor="text1"/>
          <w:sz w:val="24"/>
          <w:szCs w:val="24"/>
        </w:rPr>
        <w:t xml:space="preserve"> </w:t>
      </w:r>
      <w:r w:rsidR="007A1B29" w:rsidRPr="001561FD">
        <w:rPr>
          <w:rFonts w:ascii="Garamond" w:hAnsi="Garamond"/>
          <w:i/>
          <w:color w:val="000000" w:themeColor="text1"/>
          <w:sz w:val="24"/>
          <w:szCs w:val="24"/>
        </w:rPr>
        <w:t xml:space="preserve">of these questions assigned for the final exam. </w:t>
      </w:r>
      <w:r w:rsidR="00DC7C7D" w:rsidRPr="001561FD">
        <w:rPr>
          <w:rFonts w:ascii="Garamond" w:hAnsi="Garamond"/>
          <w:i/>
          <w:color w:val="000000" w:themeColor="text1"/>
          <w:sz w:val="24"/>
          <w:szCs w:val="24"/>
        </w:rPr>
        <w:t xml:space="preserve">The questions will be </w:t>
      </w:r>
      <w:r w:rsidR="000F308B" w:rsidRPr="001561FD">
        <w:rPr>
          <w:rFonts w:ascii="Garamond" w:hAnsi="Garamond"/>
          <w:i/>
          <w:color w:val="000000" w:themeColor="text1"/>
          <w:sz w:val="24"/>
          <w:szCs w:val="24"/>
        </w:rPr>
        <w:t xml:space="preserve">shown on the final exam in </w:t>
      </w:r>
      <w:r w:rsidR="00DC7C7D" w:rsidRPr="001561FD">
        <w:rPr>
          <w:rFonts w:ascii="Garamond" w:hAnsi="Garamond"/>
          <w:i/>
          <w:color w:val="000000" w:themeColor="text1"/>
          <w:sz w:val="24"/>
          <w:szCs w:val="24"/>
        </w:rPr>
        <w:t xml:space="preserve">verbatim </w:t>
      </w:r>
      <w:r w:rsidR="000F308B" w:rsidRPr="001561FD">
        <w:rPr>
          <w:rFonts w:ascii="Garamond" w:hAnsi="Garamond"/>
          <w:i/>
          <w:color w:val="000000" w:themeColor="text1"/>
          <w:sz w:val="24"/>
          <w:szCs w:val="24"/>
        </w:rPr>
        <w:t xml:space="preserve">format </w:t>
      </w:r>
      <w:r w:rsidR="00DC7C7D" w:rsidRPr="001561FD">
        <w:rPr>
          <w:rFonts w:ascii="Garamond" w:hAnsi="Garamond"/>
          <w:i/>
          <w:color w:val="000000" w:themeColor="text1"/>
          <w:sz w:val="24"/>
          <w:szCs w:val="24"/>
        </w:rPr>
        <w:t>from this list.</w:t>
      </w:r>
    </w:p>
    <w:p w14:paraId="7E0B38F2" w14:textId="77777777" w:rsidR="006C70CB" w:rsidRDefault="00996530" w:rsidP="00BC32E6">
      <w:pPr>
        <w:jc w:val="both"/>
        <w:rPr>
          <w:rFonts w:ascii="Garamond" w:hAnsi="Garamond"/>
          <w:b/>
          <w:color w:val="000000" w:themeColor="text1"/>
          <w:sz w:val="24"/>
          <w:szCs w:val="24"/>
          <w:u w:val="single"/>
        </w:rPr>
      </w:pPr>
      <w:r w:rsidRPr="001561FD">
        <w:rPr>
          <w:rFonts w:ascii="Garamond" w:hAnsi="Garamond"/>
          <w:i/>
          <w:color w:val="000000" w:themeColor="text1"/>
          <w:sz w:val="24"/>
          <w:szCs w:val="24"/>
        </w:rPr>
        <w:t>Note</w:t>
      </w:r>
      <w:r w:rsidR="008B2F61" w:rsidRPr="001561FD">
        <w:rPr>
          <w:rFonts w:ascii="Garamond" w:hAnsi="Garamond"/>
          <w:i/>
          <w:color w:val="000000" w:themeColor="text1"/>
          <w:sz w:val="24"/>
          <w:szCs w:val="24"/>
        </w:rPr>
        <w:t xml:space="preserve"> 2</w:t>
      </w:r>
      <w:r w:rsidRPr="001561FD">
        <w:rPr>
          <w:rFonts w:ascii="Garamond" w:hAnsi="Garamond"/>
          <w:i/>
          <w:color w:val="000000" w:themeColor="text1"/>
          <w:sz w:val="24"/>
          <w:szCs w:val="24"/>
        </w:rPr>
        <w:t xml:space="preserve">: please revisit all slides on </w:t>
      </w:r>
      <w:r w:rsidR="009B7DEC" w:rsidRPr="001561FD">
        <w:rPr>
          <w:rFonts w:ascii="Garamond" w:hAnsi="Garamond"/>
          <w:i/>
          <w:color w:val="000000" w:themeColor="text1"/>
          <w:sz w:val="24"/>
          <w:szCs w:val="24"/>
        </w:rPr>
        <w:t>Canvas</w:t>
      </w:r>
      <w:r w:rsidRPr="001561FD">
        <w:rPr>
          <w:rFonts w:ascii="Garamond" w:hAnsi="Garamond"/>
          <w:i/>
          <w:color w:val="000000" w:themeColor="text1"/>
          <w:sz w:val="24"/>
          <w:szCs w:val="24"/>
        </w:rPr>
        <w:t xml:space="preserve"> as there were </w:t>
      </w:r>
      <w:r w:rsidR="008B2F61" w:rsidRPr="001561FD">
        <w:rPr>
          <w:rFonts w:ascii="Garamond" w:hAnsi="Garamond"/>
          <w:i/>
          <w:color w:val="000000" w:themeColor="text1"/>
          <w:sz w:val="24"/>
          <w:szCs w:val="24"/>
        </w:rPr>
        <w:t xml:space="preserve">minor </w:t>
      </w:r>
      <w:r w:rsidRPr="001561FD">
        <w:rPr>
          <w:rFonts w:ascii="Garamond" w:hAnsi="Garamond"/>
          <w:i/>
          <w:color w:val="000000" w:themeColor="text1"/>
          <w:sz w:val="24"/>
          <w:szCs w:val="24"/>
        </w:rPr>
        <w:t xml:space="preserve">updates </w:t>
      </w:r>
      <w:r w:rsidR="008B2F61" w:rsidRPr="001561FD">
        <w:rPr>
          <w:rFonts w:ascii="Garamond" w:hAnsi="Garamond"/>
          <w:i/>
          <w:color w:val="000000" w:themeColor="text1"/>
          <w:sz w:val="24"/>
          <w:szCs w:val="24"/>
        </w:rPr>
        <w:t xml:space="preserve">(corrections of typos) </w:t>
      </w:r>
      <w:r w:rsidRPr="001561FD">
        <w:rPr>
          <w:rFonts w:ascii="Garamond" w:hAnsi="Garamond"/>
          <w:i/>
          <w:color w:val="000000" w:themeColor="text1"/>
          <w:sz w:val="24"/>
          <w:szCs w:val="24"/>
        </w:rPr>
        <w:t xml:space="preserve">to those as we progressed through </w:t>
      </w:r>
      <w:r w:rsidR="008B2F61" w:rsidRPr="001561FD">
        <w:rPr>
          <w:rFonts w:ascii="Garamond" w:hAnsi="Garamond"/>
          <w:i/>
          <w:color w:val="000000" w:themeColor="text1"/>
          <w:sz w:val="24"/>
          <w:szCs w:val="24"/>
        </w:rPr>
        <w:t>the course</w:t>
      </w:r>
      <w:r w:rsidR="007A1B29" w:rsidRPr="001561FD">
        <w:rPr>
          <w:rFonts w:ascii="Garamond" w:hAnsi="Garamond"/>
          <w:i/>
          <w:color w:val="000000" w:themeColor="text1"/>
          <w:sz w:val="24"/>
          <w:szCs w:val="24"/>
        </w:rPr>
        <w:t>.</w:t>
      </w:r>
      <w:r w:rsidRPr="001561FD">
        <w:rPr>
          <w:rFonts w:ascii="Garamond" w:hAnsi="Garamond"/>
          <w:i/>
          <w:color w:val="000000" w:themeColor="text1"/>
          <w:sz w:val="24"/>
          <w:szCs w:val="24"/>
        </w:rPr>
        <w:t xml:space="preserve"> </w:t>
      </w:r>
    </w:p>
    <w:p w14:paraId="4E4F391E" w14:textId="77777777" w:rsidR="00462FC1" w:rsidRPr="0067697E" w:rsidRDefault="00462FC1" w:rsidP="00462FC1">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#5</w:t>
      </w:r>
      <w:r w:rsidRPr="0067697E">
        <w:rPr>
          <w:rFonts w:ascii="Garamond" w:hAnsi="Garamond"/>
          <w:b/>
          <w:color w:val="000000" w:themeColor="text1"/>
          <w:sz w:val="24"/>
          <w:szCs w:val="24"/>
          <w:u w:val="single"/>
        </w:rPr>
        <w:t>: Tax</w:t>
      </w:r>
    </w:p>
    <w:p w14:paraId="504F1EE5"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In class we described the differences between a stock purchase with or without Section 338 election using the following example:</w:t>
      </w:r>
    </w:p>
    <w:p w14:paraId="06611FB8" w14:textId="77777777" w:rsidR="00462FC1" w:rsidRPr="00A91E8E" w:rsidRDefault="00462FC1" w:rsidP="00462FC1">
      <w:pPr>
        <w:ind w:left="720"/>
        <w:jc w:val="both"/>
        <w:rPr>
          <w:rFonts w:ascii="Garamond" w:hAnsi="Garamond"/>
          <w:color w:val="000000" w:themeColor="text1"/>
          <w:sz w:val="24"/>
          <w:szCs w:val="24"/>
        </w:rPr>
      </w:pPr>
      <w:r w:rsidRPr="00A91E8E">
        <w:rPr>
          <w:rFonts w:ascii="Garamond" w:hAnsi="Garamond"/>
          <w:noProof/>
          <w:color w:val="000000" w:themeColor="text1"/>
          <w:sz w:val="24"/>
          <w:szCs w:val="24"/>
        </w:rPr>
        <w:drawing>
          <wp:inline distT="0" distB="0" distL="0" distR="0" wp14:anchorId="110B0B64" wp14:editId="6FC0B58B">
            <wp:extent cx="5440368" cy="44278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4505" cy="4431222"/>
                    </a:xfrm>
                    <a:prstGeom prst="rect">
                      <a:avLst/>
                    </a:prstGeom>
                  </pic:spPr>
                </pic:pic>
              </a:graphicData>
            </a:graphic>
          </wp:inline>
        </w:drawing>
      </w:r>
    </w:p>
    <w:p w14:paraId="570A983B" w14:textId="77777777" w:rsidR="00462FC1" w:rsidRPr="00A91E8E" w:rsidRDefault="00462FC1" w:rsidP="00462FC1">
      <w:pPr>
        <w:ind w:firstLine="360"/>
        <w:jc w:val="both"/>
        <w:rPr>
          <w:rFonts w:ascii="Garamond" w:hAnsi="Garamond"/>
          <w:color w:val="000000" w:themeColor="text1"/>
          <w:sz w:val="24"/>
          <w:szCs w:val="24"/>
        </w:rPr>
      </w:pPr>
      <w:r w:rsidRPr="00A91E8E">
        <w:rPr>
          <w:rFonts w:ascii="Garamond" w:hAnsi="Garamond"/>
          <w:color w:val="000000" w:themeColor="text1"/>
          <w:sz w:val="24"/>
          <w:szCs w:val="24"/>
        </w:rPr>
        <w:t>Please discuss the differences between the four presented mechanisms in this chart. Please calculate the ADSP (Aggregate Deemed Sale Price) that is applicable in the case of a §338 election. When would you anticipate that a business chooses to use a §338 election?</w:t>
      </w:r>
    </w:p>
    <w:p w14:paraId="4C7EE6BA" w14:textId="77777777" w:rsidR="00462FC1" w:rsidRPr="00A91E8E" w:rsidRDefault="00462FC1" w:rsidP="00462FC1">
      <w:pPr>
        <w:ind w:firstLine="360"/>
        <w:jc w:val="both"/>
        <w:rPr>
          <w:rFonts w:ascii="Garamond" w:hAnsi="Garamond"/>
          <w:i/>
          <w:color w:val="000000" w:themeColor="text1"/>
          <w:sz w:val="24"/>
          <w:szCs w:val="24"/>
        </w:rPr>
      </w:pPr>
      <w:r w:rsidRPr="00A91E8E">
        <w:rPr>
          <w:rFonts w:ascii="Garamond" w:hAnsi="Garamond"/>
          <w:i/>
          <w:color w:val="000000" w:themeColor="text1"/>
          <w:sz w:val="24"/>
          <w:szCs w:val="24"/>
        </w:rPr>
        <w:t>(Hint: Please use the discussion to Table 13.2 in the slide set.)</w:t>
      </w:r>
    </w:p>
    <w:p w14:paraId="3B663880" w14:textId="77777777" w:rsidR="00462FC1" w:rsidRPr="00A91E8E" w:rsidRDefault="00462FC1" w:rsidP="00462FC1">
      <w:pPr>
        <w:pStyle w:val="ListParagraph"/>
        <w:jc w:val="both"/>
        <w:rPr>
          <w:rFonts w:ascii="Garamond" w:hAnsi="Garamond"/>
          <w:color w:val="000000" w:themeColor="text1"/>
          <w:sz w:val="24"/>
          <w:szCs w:val="24"/>
        </w:rPr>
      </w:pPr>
    </w:p>
    <w:p w14:paraId="5B92528D"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In class we discussed four tax-free merger structures, presented below:</w:t>
      </w:r>
    </w:p>
    <w:p w14:paraId="1775D313" w14:textId="77777777" w:rsidR="00462FC1" w:rsidRPr="00A91E8E" w:rsidRDefault="00462FC1" w:rsidP="00462FC1">
      <w:pPr>
        <w:jc w:val="both"/>
        <w:rPr>
          <w:rFonts w:ascii="Garamond" w:hAnsi="Garamond"/>
          <w:color w:val="000000" w:themeColor="text1"/>
          <w:sz w:val="24"/>
          <w:szCs w:val="24"/>
        </w:rPr>
      </w:pPr>
    </w:p>
    <w:p w14:paraId="1E2F504E" w14:textId="77777777" w:rsidR="00462FC1" w:rsidRPr="00A91E8E" w:rsidRDefault="00462FC1" w:rsidP="00462FC1">
      <w:pPr>
        <w:jc w:val="both"/>
        <w:rPr>
          <w:rFonts w:ascii="Garamond" w:hAnsi="Garamond"/>
          <w:color w:val="000000" w:themeColor="text1"/>
          <w:sz w:val="24"/>
          <w:szCs w:val="24"/>
        </w:rPr>
      </w:pPr>
    </w:p>
    <w:bookmarkStart w:id="0" w:name="_MON_1540353986"/>
    <w:bookmarkEnd w:id="0"/>
    <w:p w14:paraId="18286FFE" w14:textId="77777777" w:rsidR="00462FC1" w:rsidRPr="00A91E8E" w:rsidRDefault="00462FC1" w:rsidP="00462FC1">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object w:dxaOrig="9660" w:dyaOrig="5100" w14:anchorId="2E869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65pt;height:254.6pt" o:ole="">
            <v:imagedata r:id="rId9" o:title=""/>
          </v:shape>
          <o:OLEObject Type="Embed" ProgID="Excel.Sheet.8" ShapeID="_x0000_i1025" DrawAspect="Content" ObjectID="_1683823245" r:id="rId10"/>
        </w:object>
      </w:r>
    </w:p>
    <w:p w14:paraId="2B40F2C4" w14:textId="77777777" w:rsidR="00462FC1" w:rsidRPr="00A91E8E" w:rsidRDefault="00462FC1" w:rsidP="00462FC1">
      <w:pPr>
        <w:jc w:val="both"/>
        <w:rPr>
          <w:rFonts w:ascii="Garamond" w:hAnsi="Garamond"/>
          <w:color w:val="000000" w:themeColor="text1"/>
          <w:sz w:val="24"/>
          <w:szCs w:val="24"/>
        </w:rPr>
      </w:pPr>
      <w:r w:rsidRPr="00A91E8E">
        <w:rPr>
          <w:rFonts w:ascii="Garamond" w:hAnsi="Garamond"/>
          <w:color w:val="000000" w:themeColor="text1"/>
          <w:sz w:val="24"/>
          <w:szCs w:val="24"/>
        </w:rPr>
        <w:t xml:space="preserve">Using this chart, and the slide notes from class, please describe the main differences between these four mechanisms of tax-free mergers in terms of: (a) net after tax cost to the acquirer; and (b) net after-tax wealth effect to the seller. </w:t>
      </w:r>
    </w:p>
    <w:p w14:paraId="2FE8A3B1" w14:textId="6170C364" w:rsidR="00462FC1" w:rsidRPr="00A91E8E" w:rsidRDefault="00462FC1" w:rsidP="00462FC1">
      <w:pPr>
        <w:jc w:val="both"/>
        <w:rPr>
          <w:rFonts w:ascii="Garamond" w:hAnsi="Garamond"/>
          <w:color w:val="000000" w:themeColor="text1"/>
          <w:sz w:val="24"/>
          <w:szCs w:val="24"/>
        </w:rPr>
      </w:pPr>
      <w:r w:rsidRPr="00A91E8E">
        <w:rPr>
          <w:rFonts w:ascii="Garamond" w:hAnsi="Garamond"/>
          <w:i/>
          <w:color w:val="000000" w:themeColor="text1"/>
          <w:sz w:val="24"/>
          <w:szCs w:val="24"/>
        </w:rPr>
        <w:t>(Hint: please use the discussion to Table 16.2 in the slides)</w:t>
      </w:r>
    </w:p>
    <w:p w14:paraId="0ADC9858"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 xml:space="preserve">Can you please compare and contrast the following tax-free acquisition structures in terms of costs and </w:t>
      </w:r>
      <w:proofErr w:type="gramStart"/>
      <w:r w:rsidRPr="00A91E8E">
        <w:rPr>
          <w:rFonts w:ascii="Garamond" w:hAnsi="Garamond"/>
          <w:color w:val="000000" w:themeColor="text1"/>
          <w:sz w:val="24"/>
          <w:szCs w:val="24"/>
        </w:rPr>
        <w:t>benefits:</w:t>
      </w:r>
      <w:proofErr w:type="gramEnd"/>
    </w:p>
    <w:p w14:paraId="4BCD0FAE"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§368 “A”.</w:t>
      </w:r>
    </w:p>
    <w:p w14:paraId="14DF6A65"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i/>
          <w:color w:val="000000" w:themeColor="text1"/>
          <w:sz w:val="24"/>
          <w:szCs w:val="24"/>
        </w:rPr>
        <w:t>Triangular</w:t>
      </w:r>
      <w:r w:rsidRPr="00A91E8E">
        <w:rPr>
          <w:rFonts w:ascii="Garamond" w:hAnsi="Garamond"/>
          <w:color w:val="000000" w:themeColor="text1"/>
          <w:sz w:val="24"/>
          <w:szCs w:val="24"/>
        </w:rPr>
        <w:t xml:space="preserve"> merger pursuant to I.R.C. §368 “A”.</w:t>
      </w:r>
    </w:p>
    <w:p w14:paraId="5A01528C"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§368 “B”.</w:t>
      </w:r>
    </w:p>
    <w:p w14:paraId="7FC8A4FD"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§368 “C”.</w:t>
      </w:r>
    </w:p>
    <w:p w14:paraId="4F6E7FD6"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§351.</w:t>
      </w:r>
    </w:p>
    <w:p w14:paraId="5D2B0D62" w14:textId="5FF1C54E" w:rsidR="00462FC1" w:rsidRPr="00A0341F" w:rsidRDefault="00C26288" w:rsidP="00A0341F">
      <w:pPr>
        <w:jc w:val="both"/>
        <w:rPr>
          <w:rFonts w:ascii="Garamond" w:hAnsi="Garamond"/>
          <w:color w:val="000000" w:themeColor="text1"/>
          <w:sz w:val="24"/>
          <w:szCs w:val="24"/>
        </w:rPr>
      </w:pPr>
      <w:r>
        <w:rPr>
          <w:rFonts w:ascii="Garamond" w:hAnsi="Garamond"/>
          <w:i/>
          <w:color w:val="000000" w:themeColor="text1"/>
          <w:sz w:val="24"/>
          <w:szCs w:val="24"/>
        </w:rPr>
        <w:t>(</w:t>
      </w:r>
      <w:r w:rsidR="00A0341F"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74CFB271"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 xml:space="preserve">Please describe the differences between: (a) subsidiary stock sale; (b) subsidiary asset sale; (c) spin-off; and (d) equity carve-out. </w:t>
      </w:r>
    </w:p>
    <w:p w14:paraId="3E7D8BEF" w14:textId="3E04B2CA" w:rsidR="00462FC1" w:rsidRPr="00A91E8E" w:rsidRDefault="00462FC1" w:rsidP="00F52D42">
      <w:pPr>
        <w:ind w:firstLine="360"/>
        <w:jc w:val="both"/>
        <w:rPr>
          <w:rFonts w:ascii="Garamond" w:hAnsi="Garamond"/>
          <w:color w:val="000000" w:themeColor="text1"/>
          <w:sz w:val="24"/>
          <w:szCs w:val="24"/>
        </w:rPr>
      </w:pPr>
      <w:r w:rsidRPr="00A91E8E">
        <w:rPr>
          <w:rFonts w:ascii="Garamond" w:hAnsi="Garamond"/>
          <w:i/>
          <w:color w:val="000000" w:themeColor="text1"/>
          <w:sz w:val="24"/>
          <w:szCs w:val="24"/>
        </w:rPr>
        <w:t>(Hint: Please use the discussion to Table 13.2 in the slide set.)</w:t>
      </w:r>
    </w:p>
    <w:p w14:paraId="5701E07B" w14:textId="77777777" w:rsidR="00F52D42" w:rsidRPr="001561FD" w:rsidRDefault="00F52D42" w:rsidP="00F52D42">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#5</w:t>
      </w:r>
      <w:r w:rsidRPr="001561FD">
        <w:rPr>
          <w:rFonts w:ascii="Garamond" w:hAnsi="Garamond"/>
          <w:b/>
          <w:color w:val="000000" w:themeColor="text1"/>
          <w:sz w:val="24"/>
          <w:szCs w:val="24"/>
          <w:u w:val="single"/>
        </w:rPr>
        <w:t>: Accounting</w:t>
      </w:r>
    </w:p>
    <w:p w14:paraId="7E0DAC31" w14:textId="3A6001BF" w:rsidR="00F52D42" w:rsidRPr="001561FD" w:rsidRDefault="00F52D42" w:rsidP="00F52D42">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residual income method for asset value allocations in purchase accounting. What is the treatment of goodwill under SFAS 142? Please discuss in detail.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6D93C803" w14:textId="77777777" w:rsidR="00F52D42" w:rsidRPr="001561FD" w:rsidRDefault="00F52D42" w:rsidP="00F52D42">
      <w:pPr>
        <w:pStyle w:val="ListParagraph"/>
        <w:rPr>
          <w:rFonts w:ascii="Garamond" w:hAnsi="Garamond"/>
          <w:color w:val="000000" w:themeColor="text1"/>
          <w:sz w:val="24"/>
          <w:szCs w:val="24"/>
        </w:rPr>
      </w:pPr>
    </w:p>
    <w:p w14:paraId="596D10CD" w14:textId="7BE6DD93" w:rsidR="00F52D42" w:rsidRPr="001561FD" w:rsidRDefault="00F52D42" w:rsidP="00F52D42">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lastRenderedPageBreak/>
        <w:t>What is the tax treatment of asset allocation for the following asset classes, pursuant to FASB 141 and 142 (</w:t>
      </w:r>
      <w:r w:rsidR="0090775D">
        <w:rPr>
          <w:rFonts w:ascii="Garamond" w:hAnsi="Garamond"/>
          <w:color w:val="000000" w:themeColor="text1"/>
          <w:sz w:val="24"/>
          <w:szCs w:val="24"/>
        </w:rPr>
        <w:t xml:space="preserve">i.e., </w:t>
      </w:r>
      <w:proofErr w:type="gramStart"/>
      <w:r w:rsidRPr="001561FD">
        <w:rPr>
          <w:rFonts w:ascii="Garamond" w:hAnsi="Garamond"/>
          <w:color w:val="000000" w:themeColor="text1"/>
          <w:sz w:val="24"/>
          <w:szCs w:val="24"/>
        </w:rPr>
        <w:t>purchase accounting):</w:t>
      </w:r>
      <w:proofErr w:type="gramEnd"/>
    </w:p>
    <w:p w14:paraId="482A7019" w14:textId="77777777" w:rsidR="00F52D42" w:rsidRPr="001561FD" w:rsidRDefault="00F52D42" w:rsidP="00F52D42">
      <w:pPr>
        <w:pStyle w:val="ListParagraph"/>
        <w:rPr>
          <w:rFonts w:ascii="Garamond" w:hAnsi="Garamond"/>
          <w:color w:val="000000" w:themeColor="text1"/>
          <w:sz w:val="24"/>
          <w:szCs w:val="24"/>
        </w:rPr>
      </w:pPr>
    </w:p>
    <w:p w14:paraId="1F1B50F1"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A/R</w:t>
      </w:r>
    </w:p>
    <w:p w14:paraId="75FCE991"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Inventory</w:t>
      </w:r>
    </w:p>
    <w:p w14:paraId="02994C7A"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Real Estate</w:t>
      </w:r>
    </w:p>
    <w:p w14:paraId="4E178DE8"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Goodwill</w:t>
      </w:r>
    </w:p>
    <w:p w14:paraId="78ABCFDA"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 xml:space="preserve">Non-compete </w:t>
      </w:r>
      <w:proofErr w:type="gramStart"/>
      <w:r w:rsidRPr="001561FD">
        <w:rPr>
          <w:rFonts w:ascii="Garamond" w:hAnsi="Garamond"/>
          <w:color w:val="000000" w:themeColor="text1"/>
          <w:sz w:val="24"/>
          <w:szCs w:val="24"/>
        </w:rPr>
        <w:t>agreements</w:t>
      </w:r>
      <w:proofErr w:type="gramEnd"/>
    </w:p>
    <w:p w14:paraId="7251D57A"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Consulting/ Employment agreements</w:t>
      </w:r>
    </w:p>
    <w:p w14:paraId="4877B01E"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Intellectual property with legal life</w:t>
      </w:r>
    </w:p>
    <w:p w14:paraId="32AC400C"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Other intangibles</w:t>
      </w:r>
    </w:p>
    <w:p w14:paraId="1521DB56" w14:textId="68CF1BB6" w:rsidR="00F52D42" w:rsidRPr="001561FD" w:rsidRDefault="00C26288" w:rsidP="00F52D42">
      <w:pPr>
        <w:pStyle w:val="ListParagraph"/>
        <w:rPr>
          <w:rFonts w:ascii="Garamond" w:hAnsi="Garamond"/>
          <w:i/>
          <w:color w:val="000000" w:themeColor="text1"/>
          <w:sz w:val="24"/>
          <w:szCs w:val="24"/>
        </w:rPr>
      </w:pPr>
      <w:r>
        <w:rPr>
          <w:rFonts w:ascii="Garamond" w:hAnsi="Garamond"/>
          <w:i/>
          <w:color w:val="000000" w:themeColor="text1"/>
          <w:sz w:val="24"/>
          <w:szCs w:val="24"/>
        </w:rPr>
        <w:t>(</w:t>
      </w:r>
      <w:r w:rsidR="00F52D42"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4EE836F3" w14:textId="77777777" w:rsidR="00F52D42" w:rsidRPr="001561FD" w:rsidRDefault="00F52D42" w:rsidP="00F52D42">
      <w:pPr>
        <w:pStyle w:val="ListParagraph"/>
        <w:rPr>
          <w:rFonts w:ascii="Garamond" w:hAnsi="Garamond"/>
          <w:i/>
          <w:color w:val="000000" w:themeColor="text1"/>
        </w:rPr>
      </w:pPr>
    </w:p>
    <w:p w14:paraId="3D90F7C5" w14:textId="16D859A2" w:rsidR="00F52D42" w:rsidRPr="001561FD" w:rsidRDefault="00F52D42" w:rsidP="00F52D42">
      <w:pPr>
        <w:pStyle w:val="ListParagraph"/>
        <w:numPr>
          <w:ilvl w:val="0"/>
          <w:numId w:val="1"/>
        </w:numPr>
        <w:jc w:val="both"/>
        <w:rPr>
          <w:rFonts w:ascii="Garamond" w:hAnsi="Garamond"/>
          <w:color w:val="000000" w:themeColor="text1"/>
          <w:sz w:val="24"/>
          <w:szCs w:val="24"/>
        </w:rPr>
      </w:pPr>
      <w:r w:rsidRPr="001561FD">
        <w:rPr>
          <w:rFonts w:ascii="Garamond" w:hAnsi="Garamond"/>
          <w:color w:val="000000" w:themeColor="text1"/>
          <w:sz w:val="24"/>
          <w:szCs w:val="24"/>
        </w:rPr>
        <w:t xml:space="preserve">How does purchasing accounting reflect a 60% target stock acquisition in terms of the following scenario: buyer has $12m cash &amp; $12m in equity? Target book asset value is $12m, its fair market value is $15m, and the paid price is $20m. Please provide an account of the post-transaction goodwill, total assets, total liabilities, shareholders’ equity, minority interest.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7D7E2531" w14:textId="77777777" w:rsidR="00F52D42" w:rsidRPr="001561FD" w:rsidRDefault="00F52D42" w:rsidP="00F52D42">
      <w:pPr>
        <w:pStyle w:val="ListParagraph"/>
        <w:jc w:val="both"/>
        <w:rPr>
          <w:rFonts w:ascii="Garamond" w:hAnsi="Garamond"/>
          <w:color w:val="000000" w:themeColor="text1"/>
          <w:sz w:val="24"/>
          <w:szCs w:val="24"/>
        </w:rPr>
      </w:pPr>
    </w:p>
    <w:p w14:paraId="6B65C6D4" w14:textId="05ACF5E4" w:rsidR="00F52D42" w:rsidRPr="0090775D" w:rsidRDefault="00F52D42" w:rsidP="00F52D42">
      <w:pPr>
        <w:pStyle w:val="ListParagraph"/>
        <w:numPr>
          <w:ilvl w:val="0"/>
          <w:numId w:val="1"/>
        </w:numPr>
        <w:jc w:val="both"/>
        <w:rPr>
          <w:rFonts w:ascii="Garamond" w:hAnsi="Garamond"/>
          <w:color w:val="000000" w:themeColor="text1"/>
          <w:sz w:val="24"/>
          <w:szCs w:val="24"/>
        </w:rPr>
      </w:pPr>
      <w:r w:rsidRPr="0090775D">
        <w:rPr>
          <w:rFonts w:ascii="Garamond" w:hAnsi="Garamond"/>
          <w:color w:val="000000" w:themeColor="text1"/>
          <w:sz w:val="24"/>
          <w:szCs w:val="24"/>
        </w:rPr>
        <w:t xml:space="preserve">How does purchasing accounting reflect a 90% target stock acquisition in terms of the following scenario: buyer has $18m cash &amp; $18m in equity. Target book asset value is $12m, its fair market value is $15m, and the paid price is $20m. </w:t>
      </w:r>
      <w:r w:rsidR="0090775D">
        <w:rPr>
          <w:rFonts w:ascii="Garamond" w:hAnsi="Garamond"/>
          <w:color w:val="000000" w:themeColor="text1"/>
          <w:sz w:val="24"/>
          <w:szCs w:val="24"/>
        </w:rPr>
        <w:t>Using the consolidation method, p</w:t>
      </w:r>
      <w:r w:rsidRPr="0090775D">
        <w:rPr>
          <w:rFonts w:ascii="Garamond" w:hAnsi="Garamond"/>
          <w:color w:val="000000" w:themeColor="text1"/>
          <w:sz w:val="24"/>
          <w:szCs w:val="24"/>
        </w:rPr>
        <w:t xml:space="preserve">lease provide an account of the post-transaction goodwill, total assets, total liabilities, shareholders’ equity, minority interest. </w:t>
      </w:r>
      <w:r w:rsidR="00C26288">
        <w:rPr>
          <w:rFonts w:ascii="Garamond" w:hAnsi="Garamond"/>
          <w:color w:val="000000" w:themeColor="text1"/>
          <w:sz w:val="24"/>
          <w:szCs w:val="24"/>
        </w:rPr>
        <w:t>(</w:t>
      </w:r>
      <w:r w:rsidRPr="0090775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A89A0F0" w14:textId="77777777" w:rsidR="00F52D42" w:rsidRPr="001561FD" w:rsidRDefault="00F52D42" w:rsidP="00F52D42">
      <w:pPr>
        <w:pStyle w:val="ListParagraph"/>
        <w:jc w:val="both"/>
        <w:rPr>
          <w:rFonts w:ascii="Garamond" w:hAnsi="Garamond"/>
          <w:color w:val="000000" w:themeColor="text1"/>
          <w:sz w:val="24"/>
          <w:szCs w:val="24"/>
        </w:rPr>
      </w:pPr>
    </w:p>
    <w:p w14:paraId="28F08E65" w14:textId="317179BC" w:rsidR="00F52D42" w:rsidRPr="00FD1C48" w:rsidRDefault="00F52D42" w:rsidP="00EB39F0">
      <w:pPr>
        <w:pStyle w:val="ListParagraph"/>
        <w:numPr>
          <w:ilvl w:val="0"/>
          <w:numId w:val="1"/>
        </w:numPr>
        <w:jc w:val="both"/>
        <w:rPr>
          <w:rFonts w:ascii="Garamond" w:hAnsi="Garamond"/>
          <w:color w:val="000000" w:themeColor="text1"/>
          <w:sz w:val="24"/>
          <w:szCs w:val="24"/>
        </w:rPr>
      </w:pPr>
      <w:r w:rsidRPr="00A0341F">
        <w:rPr>
          <w:rFonts w:ascii="Garamond" w:hAnsi="Garamond"/>
          <w:color w:val="000000" w:themeColor="text1"/>
          <w:sz w:val="24"/>
          <w:szCs w:val="24"/>
        </w:rPr>
        <w:t xml:space="preserve">Please compare the three methods to account for partial acquisitions of target stock: (1) the consolidation method; (2) the equity method; and (3) the cost method. </w:t>
      </w:r>
      <w:r w:rsidR="00C26288">
        <w:rPr>
          <w:rFonts w:ascii="Garamond" w:hAnsi="Garamond"/>
          <w:color w:val="000000" w:themeColor="text1"/>
          <w:sz w:val="24"/>
          <w:szCs w:val="24"/>
        </w:rPr>
        <w:t>(</w:t>
      </w:r>
      <w:r w:rsidRPr="00A0341F">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6D58F5C2" w14:textId="77777777" w:rsidR="00FD1C48" w:rsidRPr="00FD1C48" w:rsidRDefault="00FD1C48" w:rsidP="00FD1C48">
      <w:pPr>
        <w:pStyle w:val="ListParagraph"/>
        <w:rPr>
          <w:rFonts w:ascii="Garamond" w:hAnsi="Garamond"/>
          <w:color w:val="000000" w:themeColor="text1"/>
          <w:sz w:val="24"/>
          <w:szCs w:val="24"/>
        </w:rPr>
      </w:pPr>
    </w:p>
    <w:p w14:paraId="7FA8F268" w14:textId="77777777" w:rsidR="00FD1C48" w:rsidRPr="001561FD" w:rsidRDefault="00FD1C48" w:rsidP="00FD1C48">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#6</w:t>
      </w:r>
      <w:r w:rsidRPr="001561FD">
        <w:rPr>
          <w:rFonts w:ascii="Garamond" w:hAnsi="Garamond"/>
          <w:b/>
          <w:color w:val="000000" w:themeColor="text1"/>
          <w:sz w:val="24"/>
          <w:szCs w:val="24"/>
          <w:u w:val="single"/>
        </w:rPr>
        <w:t>: Bankruptcy</w:t>
      </w:r>
    </w:p>
    <w:p w14:paraId="0F688E86" w14:textId="77777777" w:rsidR="00FD1C48" w:rsidRPr="001561FD" w:rsidRDefault="00FD1C48" w:rsidP="00FD1C48">
      <w:pPr>
        <w:pStyle w:val="ListParagraph"/>
        <w:numPr>
          <w:ilvl w:val="0"/>
          <w:numId w:val="1"/>
        </w:numPr>
        <w:jc w:val="both"/>
        <w:rPr>
          <w:rFonts w:ascii="Garamond" w:hAnsi="Garamond"/>
          <w:color w:val="000000" w:themeColor="text1"/>
          <w:sz w:val="24"/>
          <w:szCs w:val="24"/>
        </w:rPr>
      </w:pPr>
      <w:r w:rsidRPr="001561FD">
        <w:rPr>
          <w:rFonts w:ascii="Garamond" w:hAnsi="Garamond"/>
          <w:color w:val="000000" w:themeColor="text1"/>
          <w:sz w:val="24"/>
          <w:szCs w:val="24"/>
        </w:rPr>
        <w:t>Please calculate the probability of financial distress if the promised yield on debt (</w:t>
      </w:r>
      <w:proofErr w:type="spellStart"/>
      <w:r w:rsidRPr="001561FD">
        <w:rPr>
          <w:rFonts w:ascii="Garamond" w:hAnsi="Garamond"/>
          <w:color w:val="000000" w:themeColor="text1"/>
          <w:sz w:val="24"/>
          <w:szCs w:val="24"/>
        </w:rPr>
        <w:t>r</w:t>
      </w:r>
      <w:r w:rsidRPr="001561FD">
        <w:rPr>
          <w:rFonts w:ascii="Garamond" w:hAnsi="Garamond"/>
          <w:color w:val="000000" w:themeColor="text1"/>
          <w:sz w:val="24"/>
          <w:szCs w:val="24"/>
          <w:vertAlign w:val="subscript"/>
        </w:rPr>
        <w:t>P</w:t>
      </w:r>
      <w:proofErr w:type="spellEnd"/>
      <w:r w:rsidRPr="001561FD">
        <w:rPr>
          <w:rFonts w:ascii="Garamond" w:hAnsi="Garamond"/>
          <w:color w:val="000000" w:themeColor="text1"/>
          <w:sz w:val="24"/>
          <w:szCs w:val="24"/>
        </w:rPr>
        <w:t xml:space="preserve">) is 10%, the debt beta is 0.10, the market risk premium is 6% and the risk-free rate is 2.5%. Please assume that the recovery rate in default is 50%. </w:t>
      </w:r>
      <w:r>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39305F35" w14:textId="77777777" w:rsidR="00FD1C48" w:rsidRPr="001561FD" w:rsidRDefault="00FD1C48" w:rsidP="00FD1C48">
      <w:pPr>
        <w:rPr>
          <w:rFonts w:ascii="Garamond" w:hAnsi="Garamond"/>
          <w:color w:val="000000" w:themeColor="text1"/>
          <w:sz w:val="24"/>
          <w:szCs w:val="24"/>
        </w:rPr>
      </w:pPr>
    </w:p>
    <w:p w14:paraId="0FC13465" w14:textId="77777777" w:rsidR="00FD1C48" w:rsidRPr="0031191E" w:rsidRDefault="00FD1C48" w:rsidP="00FD1C48">
      <w:pPr>
        <w:pStyle w:val="ListParagraph"/>
        <w:numPr>
          <w:ilvl w:val="0"/>
          <w:numId w:val="1"/>
        </w:numPr>
        <w:rPr>
          <w:rFonts w:ascii="Garamond" w:hAnsi="Garamond"/>
          <w:color w:val="000000" w:themeColor="text1"/>
          <w:sz w:val="24"/>
          <w:szCs w:val="24"/>
        </w:rPr>
      </w:pPr>
      <w:r w:rsidRPr="0031191E">
        <w:rPr>
          <w:rFonts w:ascii="Garamond" w:hAnsi="Garamond"/>
          <w:color w:val="000000" w:themeColor="text1"/>
          <w:sz w:val="24"/>
          <w:szCs w:val="24"/>
        </w:rPr>
        <w:t xml:space="preserve">Please discuss the mechanism of “cram down” in bankruptcy. Please discuss the mechanisms of “automatic stay”, “fraudulent conveyance” and “absolute priority” in bankruptcy. </w:t>
      </w:r>
      <w:r>
        <w:rPr>
          <w:rFonts w:ascii="Garamond" w:hAnsi="Garamond"/>
          <w:color w:val="000000" w:themeColor="text1"/>
          <w:sz w:val="24"/>
          <w:szCs w:val="24"/>
        </w:rPr>
        <w:t>(</w:t>
      </w:r>
      <w:r w:rsidRPr="0031191E">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0203CCC1" w14:textId="77777777" w:rsidR="00FD1C48" w:rsidRPr="001561FD" w:rsidRDefault="00FD1C48" w:rsidP="00FD1C48">
      <w:pPr>
        <w:rPr>
          <w:rFonts w:ascii="Garamond" w:hAnsi="Garamond"/>
          <w:color w:val="000000" w:themeColor="text1"/>
          <w:sz w:val="24"/>
          <w:szCs w:val="24"/>
        </w:rPr>
      </w:pPr>
    </w:p>
    <w:p w14:paraId="66D2B538" w14:textId="77777777" w:rsidR="00FD1C48" w:rsidRPr="001561FD" w:rsidRDefault="00FD1C48"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What payments are permitted while Chapter 11 is pending? What </w:t>
      </w:r>
      <w:proofErr w:type="gramStart"/>
      <w:r w:rsidRPr="001561FD">
        <w:rPr>
          <w:rFonts w:ascii="Garamond" w:hAnsi="Garamond"/>
          <w:color w:val="000000" w:themeColor="text1"/>
          <w:sz w:val="24"/>
          <w:szCs w:val="24"/>
        </w:rPr>
        <w:t>are</w:t>
      </w:r>
      <w:proofErr w:type="gramEnd"/>
      <w:r w:rsidRPr="001561FD">
        <w:rPr>
          <w:rFonts w:ascii="Garamond" w:hAnsi="Garamond"/>
          <w:color w:val="000000" w:themeColor="text1"/>
          <w:sz w:val="24"/>
          <w:szCs w:val="24"/>
        </w:rPr>
        <w:t xml:space="preserve"> the possible post-bankruptcy-petition financing choices (i.e., what kind of debt is permissible during </w:t>
      </w:r>
      <w:r w:rsidRPr="001561FD">
        <w:rPr>
          <w:rFonts w:ascii="Garamond" w:hAnsi="Garamond"/>
          <w:color w:val="000000" w:themeColor="text1"/>
          <w:sz w:val="24"/>
          <w:szCs w:val="24"/>
        </w:rPr>
        <w:lastRenderedPageBreak/>
        <w:t xml:space="preserve">bankruptcy)? </w:t>
      </w:r>
      <w:r w:rsidRPr="0031191E">
        <w:rPr>
          <w:rFonts w:ascii="Garamond" w:hAnsi="Garamond"/>
          <w:color w:val="000000" w:themeColor="text1"/>
          <w:sz w:val="24"/>
          <w:szCs w:val="24"/>
        </w:rPr>
        <w:t xml:space="preserve">Can one-year junior debt can have priority to 10-year senior debt? </w:t>
      </w:r>
      <w:r>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3C7F0C86" w14:textId="77777777" w:rsidR="00FD1C48" w:rsidRPr="001561FD" w:rsidRDefault="00FD1C48" w:rsidP="00FD1C48">
      <w:pPr>
        <w:rPr>
          <w:rFonts w:ascii="Garamond" w:hAnsi="Garamond"/>
          <w:color w:val="000000" w:themeColor="text1"/>
          <w:sz w:val="24"/>
          <w:szCs w:val="24"/>
        </w:rPr>
      </w:pPr>
    </w:p>
    <w:p w14:paraId="71103FBA" w14:textId="77777777" w:rsidR="00FD1C48" w:rsidRPr="001561FD" w:rsidRDefault="00FD1C48"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Can insolvency be less costly in a world of high leverage? Please discuss and defend your arguments with examples. </w:t>
      </w:r>
      <w:r>
        <w:rPr>
          <w:rFonts w:ascii="Garamond" w:hAnsi="Garamond"/>
          <w:color w:val="000000" w:themeColor="text1"/>
          <w:sz w:val="24"/>
          <w:szCs w:val="24"/>
        </w:rPr>
        <w:t>(</w:t>
      </w:r>
      <w:r w:rsidRPr="001561FD">
        <w:rPr>
          <w:rFonts w:ascii="Garamond" w:hAnsi="Garamond"/>
          <w:i/>
          <w:color w:val="000000" w:themeColor="text1"/>
          <w:sz w:val="24"/>
          <w:szCs w:val="24"/>
        </w:rPr>
        <w:t>Hint: this argument was discussed in the context of the article by Michael Jensen, “The Eclipse of the Public Corporation” HBR, 1999. Please refer to the slides notes on Canvas to that purpose.</w:t>
      </w:r>
      <w:r>
        <w:rPr>
          <w:rFonts w:ascii="Garamond" w:hAnsi="Garamond"/>
          <w:i/>
          <w:color w:val="000000" w:themeColor="text1"/>
          <w:sz w:val="24"/>
          <w:szCs w:val="24"/>
        </w:rPr>
        <w:t>)</w:t>
      </w:r>
    </w:p>
    <w:p w14:paraId="1769B49D" w14:textId="77777777" w:rsidR="00FD1C48" w:rsidRDefault="00FD1C48" w:rsidP="00FD1C48">
      <w:pPr>
        <w:pStyle w:val="ListParagraph"/>
        <w:rPr>
          <w:rFonts w:ascii="Garamond" w:hAnsi="Garamond"/>
          <w:color w:val="000000" w:themeColor="text1"/>
          <w:sz w:val="24"/>
          <w:szCs w:val="24"/>
        </w:rPr>
      </w:pPr>
    </w:p>
    <w:p w14:paraId="4D42B032" w14:textId="77777777" w:rsidR="00FD1C48" w:rsidRPr="001561FD" w:rsidRDefault="00FD1C48" w:rsidP="00FD1C48">
      <w:pPr>
        <w:pStyle w:val="ListParagraph"/>
        <w:rPr>
          <w:rFonts w:ascii="Garamond" w:hAnsi="Garamond"/>
          <w:color w:val="000000" w:themeColor="text1"/>
          <w:sz w:val="24"/>
          <w:szCs w:val="24"/>
        </w:rPr>
      </w:pPr>
    </w:p>
    <w:p w14:paraId="126E3ABE" w14:textId="77777777" w:rsidR="00FD1C48" w:rsidRPr="007D2982" w:rsidRDefault="00FD1C48" w:rsidP="00FD1C48">
      <w:pPr>
        <w:pStyle w:val="ListParagraph"/>
        <w:numPr>
          <w:ilvl w:val="0"/>
          <w:numId w:val="1"/>
        </w:numPr>
        <w:rPr>
          <w:rFonts w:ascii="Garamond" w:hAnsi="Garamond"/>
          <w:color w:val="000000" w:themeColor="text1"/>
          <w:sz w:val="24"/>
          <w:szCs w:val="24"/>
        </w:rPr>
      </w:pPr>
      <w:r w:rsidRPr="007D2982">
        <w:rPr>
          <w:rFonts w:ascii="Garamond" w:hAnsi="Garamond"/>
          <w:color w:val="000000" w:themeColor="text1"/>
          <w:sz w:val="24"/>
          <w:szCs w:val="24"/>
        </w:rPr>
        <w:t>Why do firms file for formal bankruptcy? What is the difference between a pre-packaged bankruptcy and a private debt workout? Please explain.</w:t>
      </w:r>
    </w:p>
    <w:p w14:paraId="29D056ED" w14:textId="77777777" w:rsidR="00FD1C48" w:rsidRDefault="00FD1C48" w:rsidP="00FD1C48">
      <w:pPr>
        <w:pStyle w:val="ListParagraph"/>
        <w:rPr>
          <w:rFonts w:ascii="Garamond" w:hAnsi="Garamond"/>
          <w:i/>
          <w:color w:val="000000" w:themeColor="text1"/>
          <w:sz w:val="24"/>
          <w:szCs w:val="24"/>
        </w:rPr>
      </w:pPr>
      <w:r>
        <w:rPr>
          <w:rFonts w:ascii="Garamond" w:hAnsi="Garamond"/>
          <w:i/>
          <w:color w:val="000000" w:themeColor="text1"/>
          <w:sz w:val="24"/>
          <w:szCs w:val="24"/>
        </w:rPr>
        <w:t>(</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38A39C03" w14:textId="77777777" w:rsidR="00FD1C48" w:rsidRDefault="00FD1C48" w:rsidP="00FD1C48">
      <w:pPr>
        <w:pStyle w:val="ListParagraph"/>
        <w:rPr>
          <w:rFonts w:ascii="Garamond" w:hAnsi="Garamond"/>
          <w:i/>
          <w:color w:val="000000" w:themeColor="text1"/>
          <w:sz w:val="24"/>
          <w:szCs w:val="24"/>
        </w:rPr>
      </w:pPr>
    </w:p>
    <w:p w14:paraId="77A4F7BA" w14:textId="77777777" w:rsidR="00FD1C48" w:rsidRDefault="00FD1C48" w:rsidP="00FD1C48">
      <w:pPr>
        <w:pStyle w:val="ListParagraph"/>
        <w:rPr>
          <w:rFonts w:ascii="Garamond" w:hAnsi="Garamond"/>
          <w:i/>
          <w:color w:val="000000" w:themeColor="text1"/>
          <w:sz w:val="24"/>
          <w:szCs w:val="24"/>
        </w:rPr>
      </w:pPr>
      <w:r w:rsidRPr="007D2982">
        <w:rPr>
          <w:rFonts w:ascii="Garamond" w:hAnsi="Garamond"/>
          <w:color w:val="000000" w:themeColor="text1"/>
          <w:sz w:val="24"/>
          <w:szCs w:val="24"/>
        </w:rPr>
        <w:t>What is meant by risk-shifting in anticipation of bankruptcy?</w:t>
      </w:r>
      <w:r>
        <w:rPr>
          <w:rFonts w:ascii="Garamond" w:hAnsi="Garamond"/>
          <w:color w:val="000000" w:themeColor="text1"/>
          <w:sz w:val="24"/>
          <w:szCs w:val="24"/>
        </w:rPr>
        <w:t xml:space="preserve"> Please explain using the example from class. (</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6957EE2C" w14:textId="77777777" w:rsidR="00FD1C48" w:rsidRPr="00A0341F" w:rsidRDefault="00FD1C48" w:rsidP="00FD1C48">
      <w:pPr>
        <w:pStyle w:val="ListParagraph"/>
        <w:jc w:val="both"/>
        <w:rPr>
          <w:rFonts w:ascii="Garamond" w:hAnsi="Garamond"/>
          <w:color w:val="000000" w:themeColor="text1"/>
          <w:sz w:val="24"/>
          <w:szCs w:val="24"/>
        </w:rPr>
      </w:pPr>
    </w:p>
    <w:p w14:paraId="716E2B3C" w14:textId="4192227B" w:rsidR="00462FC1" w:rsidRPr="00A91E8E" w:rsidRDefault="00462FC1" w:rsidP="00462FC1">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#6</w:t>
      </w:r>
      <w:r w:rsidRPr="00A91E8E">
        <w:rPr>
          <w:rFonts w:ascii="Garamond" w:hAnsi="Garamond"/>
          <w:b/>
          <w:color w:val="000000" w:themeColor="text1"/>
          <w:sz w:val="24"/>
          <w:szCs w:val="24"/>
          <w:u w:val="single"/>
        </w:rPr>
        <w:t>: M&amp;A Defenses</w:t>
      </w:r>
    </w:p>
    <w:p w14:paraId="2A7D8DB7" w14:textId="0402FE5B" w:rsidR="00462FC1" w:rsidRDefault="00462FC1" w:rsidP="00FD1C48">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Suppose that company A is attempting to acquire company T via unsolicited tender offer. The offer is for a share exchange with exchange ratio of one share of A for each share of T, whereby T has a poison pill plan that is triggered by this hostile takeover attempt. T’s poison pill plan enables each T shareholder, except for the control-seeking one, to obtain a dividend of 2 shares per each share they own at no cost. What will be the effect on the poison pill be, assuming both A and T have each one million shares outstanding?</w:t>
      </w:r>
    </w:p>
    <w:p w14:paraId="01E4950C" w14:textId="77777777" w:rsidR="0090775D" w:rsidRPr="0090775D" w:rsidRDefault="0090775D" w:rsidP="0090775D">
      <w:pPr>
        <w:jc w:val="both"/>
        <w:rPr>
          <w:rFonts w:ascii="Garamond" w:hAnsi="Garamond"/>
          <w:color w:val="000000" w:themeColor="text1"/>
          <w:sz w:val="24"/>
          <w:szCs w:val="24"/>
        </w:rPr>
      </w:pPr>
    </w:p>
    <w:tbl>
      <w:tblPr>
        <w:tblW w:w="88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60"/>
        <w:gridCol w:w="1440"/>
        <w:gridCol w:w="1440"/>
        <w:gridCol w:w="1464"/>
        <w:gridCol w:w="1431"/>
      </w:tblGrid>
      <w:tr w:rsidR="00462FC1" w:rsidRPr="00A91E8E" w14:paraId="362D2CA0" w14:textId="77777777" w:rsidTr="00DE3851">
        <w:trPr>
          <w:trHeight w:hRule="exact" w:val="622"/>
        </w:trPr>
        <w:tc>
          <w:tcPr>
            <w:tcW w:w="3060" w:type="dxa"/>
            <w:shd w:val="clear" w:color="auto" w:fill="auto"/>
            <w:tcMar>
              <w:top w:w="72" w:type="dxa"/>
              <w:left w:w="144" w:type="dxa"/>
              <w:bottom w:w="72" w:type="dxa"/>
              <w:right w:w="144" w:type="dxa"/>
            </w:tcMar>
            <w:hideMark/>
          </w:tcPr>
          <w:p w14:paraId="2DB27521" w14:textId="77777777" w:rsidR="00462FC1" w:rsidRPr="00A91E8E" w:rsidRDefault="00462FC1" w:rsidP="00DE3851">
            <w:pPr>
              <w:spacing w:after="0" w:line="240" w:lineRule="auto"/>
              <w:rPr>
                <w:rFonts w:ascii="Garamond" w:hAnsi="Garamond"/>
                <w:color w:val="000000" w:themeColor="text1"/>
                <w:sz w:val="24"/>
                <w:szCs w:val="24"/>
              </w:rPr>
            </w:pPr>
          </w:p>
        </w:tc>
        <w:tc>
          <w:tcPr>
            <w:tcW w:w="2880" w:type="dxa"/>
            <w:gridSpan w:val="2"/>
            <w:shd w:val="clear" w:color="auto" w:fill="auto"/>
            <w:tcMar>
              <w:top w:w="72" w:type="dxa"/>
              <w:left w:w="144" w:type="dxa"/>
              <w:bottom w:w="72" w:type="dxa"/>
              <w:right w:w="144" w:type="dxa"/>
            </w:tcMar>
            <w:hideMark/>
          </w:tcPr>
          <w:p w14:paraId="3244500D" w14:textId="77777777" w:rsidR="00462FC1" w:rsidRPr="00A91E8E" w:rsidRDefault="00462FC1" w:rsidP="00DE3851">
            <w:pPr>
              <w:spacing w:after="0" w:line="240" w:lineRule="auto"/>
              <w:jc w:val="center"/>
              <w:rPr>
                <w:rFonts w:ascii="Garamond" w:hAnsi="Garamond"/>
                <w:color w:val="000000" w:themeColor="text1"/>
                <w:sz w:val="24"/>
                <w:szCs w:val="24"/>
              </w:rPr>
            </w:pPr>
            <w:r w:rsidRPr="00A91E8E">
              <w:rPr>
                <w:rFonts w:ascii="Garamond" w:hAnsi="Garamond"/>
                <w:color w:val="000000" w:themeColor="text1"/>
                <w:sz w:val="24"/>
                <w:szCs w:val="24"/>
              </w:rPr>
              <w:t>New Company Shares Outstanding</w:t>
            </w:r>
          </w:p>
        </w:tc>
        <w:tc>
          <w:tcPr>
            <w:tcW w:w="2895" w:type="dxa"/>
            <w:gridSpan w:val="2"/>
            <w:shd w:val="clear" w:color="auto" w:fill="auto"/>
            <w:tcMar>
              <w:top w:w="72" w:type="dxa"/>
              <w:left w:w="144" w:type="dxa"/>
              <w:bottom w:w="72" w:type="dxa"/>
              <w:right w:w="144" w:type="dxa"/>
            </w:tcMar>
            <w:hideMark/>
          </w:tcPr>
          <w:p w14:paraId="01BFCD21" w14:textId="77777777" w:rsidR="00462FC1" w:rsidRPr="00A91E8E" w:rsidRDefault="00462FC1" w:rsidP="00DE3851">
            <w:pPr>
              <w:spacing w:after="0" w:line="240" w:lineRule="auto"/>
              <w:jc w:val="center"/>
              <w:rPr>
                <w:rFonts w:ascii="Garamond" w:hAnsi="Garamond"/>
                <w:color w:val="000000" w:themeColor="text1"/>
                <w:sz w:val="24"/>
                <w:szCs w:val="24"/>
              </w:rPr>
            </w:pPr>
            <w:r w:rsidRPr="00A91E8E">
              <w:rPr>
                <w:rFonts w:ascii="Garamond" w:hAnsi="Garamond"/>
                <w:color w:val="000000" w:themeColor="text1"/>
                <w:sz w:val="24"/>
                <w:szCs w:val="24"/>
              </w:rPr>
              <w:t>Ownership Distribution in New Company (%)</w:t>
            </w:r>
          </w:p>
        </w:tc>
      </w:tr>
      <w:tr w:rsidR="00462FC1" w:rsidRPr="00A91E8E" w14:paraId="1B4F258C" w14:textId="77777777" w:rsidTr="00DE3851">
        <w:trPr>
          <w:trHeight w:hRule="exact" w:val="631"/>
        </w:trPr>
        <w:tc>
          <w:tcPr>
            <w:tcW w:w="3060" w:type="dxa"/>
            <w:shd w:val="clear" w:color="auto" w:fill="auto"/>
            <w:tcMar>
              <w:top w:w="72" w:type="dxa"/>
              <w:left w:w="144" w:type="dxa"/>
              <w:bottom w:w="72" w:type="dxa"/>
              <w:right w:w="144" w:type="dxa"/>
            </w:tcMar>
            <w:hideMark/>
          </w:tcPr>
          <w:p w14:paraId="7E15D475" w14:textId="77777777" w:rsidR="00462FC1" w:rsidRPr="00A91E8E" w:rsidRDefault="00462FC1" w:rsidP="00DE3851">
            <w:pPr>
              <w:spacing w:after="0" w:line="240" w:lineRule="auto"/>
              <w:rPr>
                <w:rFonts w:ascii="Garamond" w:hAnsi="Garamond"/>
                <w:color w:val="000000" w:themeColor="text1"/>
                <w:sz w:val="24"/>
                <w:szCs w:val="24"/>
              </w:rPr>
            </w:pPr>
          </w:p>
        </w:tc>
        <w:tc>
          <w:tcPr>
            <w:tcW w:w="1440" w:type="dxa"/>
            <w:shd w:val="clear" w:color="auto" w:fill="auto"/>
            <w:tcMar>
              <w:top w:w="72" w:type="dxa"/>
              <w:left w:w="144" w:type="dxa"/>
              <w:bottom w:w="72" w:type="dxa"/>
              <w:right w:w="144" w:type="dxa"/>
            </w:tcMar>
            <w:hideMark/>
          </w:tcPr>
          <w:p w14:paraId="268497A6"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Without Pill</w:t>
            </w:r>
          </w:p>
        </w:tc>
        <w:tc>
          <w:tcPr>
            <w:tcW w:w="1440" w:type="dxa"/>
            <w:shd w:val="clear" w:color="auto" w:fill="auto"/>
            <w:tcMar>
              <w:top w:w="72" w:type="dxa"/>
              <w:left w:w="144" w:type="dxa"/>
              <w:bottom w:w="72" w:type="dxa"/>
              <w:right w:w="144" w:type="dxa"/>
            </w:tcMar>
            <w:hideMark/>
          </w:tcPr>
          <w:p w14:paraId="47BA7A9E"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 Pill</w:t>
            </w:r>
          </w:p>
        </w:tc>
        <w:tc>
          <w:tcPr>
            <w:tcW w:w="1464" w:type="dxa"/>
            <w:shd w:val="clear" w:color="auto" w:fill="auto"/>
            <w:tcMar>
              <w:top w:w="72" w:type="dxa"/>
              <w:left w:w="144" w:type="dxa"/>
              <w:bottom w:w="72" w:type="dxa"/>
              <w:right w:w="144" w:type="dxa"/>
            </w:tcMar>
            <w:hideMark/>
          </w:tcPr>
          <w:p w14:paraId="57FEEBE5"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Without Pill</w:t>
            </w:r>
          </w:p>
        </w:tc>
        <w:tc>
          <w:tcPr>
            <w:tcW w:w="1431" w:type="dxa"/>
            <w:shd w:val="clear" w:color="auto" w:fill="auto"/>
            <w:tcMar>
              <w:top w:w="72" w:type="dxa"/>
              <w:left w:w="144" w:type="dxa"/>
              <w:bottom w:w="72" w:type="dxa"/>
              <w:right w:w="144" w:type="dxa"/>
            </w:tcMar>
            <w:hideMark/>
          </w:tcPr>
          <w:p w14:paraId="69AC8AA1"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 Pill</w:t>
            </w:r>
          </w:p>
        </w:tc>
      </w:tr>
      <w:tr w:rsidR="00462FC1" w:rsidRPr="00A91E8E" w14:paraId="1B29B5C2" w14:textId="77777777" w:rsidTr="00DE3851">
        <w:trPr>
          <w:trHeight w:hRule="exact" w:val="1405"/>
        </w:trPr>
        <w:tc>
          <w:tcPr>
            <w:tcW w:w="3060" w:type="dxa"/>
            <w:shd w:val="clear" w:color="auto" w:fill="auto"/>
            <w:tcMar>
              <w:top w:w="72" w:type="dxa"/>
              <w:left w:w="144" w:type="dxa"/>
              <w:bottom w:w="72" w:type="dxa"/>
              <w:right w:w="144" w:type="dxa"/>
            </w:tcMar>
            <w:hideMark/>
          </w:tcPr>
          <w:p w14:paraId="46602448"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u w:val="single"/>
              </w:rPr>
              <w:t>Target Firm Shareholders</w:t>
            </w:r>
          </w:p>
          <w:p w14:paraId="715CAF60"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Shares Outstanding</w:t>
            </w:r>
          </w:p>
          <w:p w14:paraId="0BC0F22F"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Total Shares Outstanding</w:t>
            </w:r>
          </w:p>
        </w:tc>
        <w:tc>
          <w:tcPr>
            <w:tcW w:w="1440" w:type="dxa"/>
            <w:shd w:val="clear" w:color="auto" w:fill="auto"/>
            <w:tcMar>
              <w:top w:w="72" w:type="dxa"/>
              <w:left w:w="144" w:type="dxa"/>
              <w:bottom w:w="72" w:type="dxa"/>
              <w:right w:w="144" w:type="dxa"/>
            </w:tcMar>
          </w:tcPr>
          <w:p w14:paraId="0417B5BE" w14:textId="77777777" w:rsidR="00462FC1" w:rsidRPr="00A91E8E" w:rsidRDefault="00462FC1" w:rsidP="00DE3851">
            <w:pPr>
              <w:spacing w:after="0" w:line="240" w:lineRule="auto"/>
              <w:rPr>
                <w:rFonts w:ascii="Garamond" w:hAnsi="Garamond"/>
                <w:color w:val="000000" w:themeColor="text1"/>
                <w:sz w:val="24"/>
                <w:szCs w:val="24"/>
              </w:rPr>
            </w:pPr>
          </w:p>
        </w:tc>
        <w:tc>
          <w:tcPr>
            <w:tcW w:w="1440" w:type="dxa"/>
            <w:shd w:val="clear" w:color="auto" w:fill="auto"/>
            <w:tcMar>
              <w:top w:w="72" w:type="dxa"/>
              <w:left w:w="144" w:type="dxa"/>
              <w:bottom w:w="72" w:type="dxa"/>
              <w:right w:w="144" w:type="dxa"/>
            </w:tcMar>
          </w:tcPr>
          <w:p w14:paraId="1CA3E423" w14:textId="77777777" w:rsidR="00462FC1" w:rsidRPr="00A91E8E" w:rsidRDefault="00462FC1" w:rsidP="00DE3851">
            <w:pPr>
              <w:spacing w:after="0" w:line="240" w:lineRule="auto"/>
              <w:rPr>
                <w:rFonts w:ascii="Garamond" w:hAnsi="Garamond"/>
                <w:color w:val="000000" w:themeColor="text1"/>
                <w:sz w:val="24"/>
                <w:szCs w:val="24"/>
              </w:rPr>
            </w:pPr>
          </w:p>
        </w:tc>
        <w:tc>
          <w:tcPr>
            <w:tcW w:w="1464" w:type="dxa"/>
            <w:shd w:val="clear" w:color="auto" w:fill="auto"/>
            <w:tcMar>
              <w:top w:w="72" w:type="dxa"/>
              <w:left w:w="144" w:type="dxa"/>
              <w:bottom w:w="72" w:type="dxa"/>
              <w:right w:w="144" w:type="dxa"/>
            </w:tcMar>
          </w:tcPr>
          <w:p w14:paraId="5673C956" w14:textId="77777777" w:rsidR="00462FC1" w:rsidRPr="00A91E8E" w:rsidRDefault="00462FC1" w:rsidP="00DE3851">
            <w:pPr>
              <w:spacing w:after="0" w:line="240" w:lineRule="auto"/>
              <w:rPr>
                <w:rFonts w:ascii="Garamond" w:hAnsi="Garamond"/>
                <w:color w:val="000000" w:themeColor="text1"/>
                <w:sz w:val="24"/>
                <w:szCs w:val="24"/>
              </w:rPr>
            </w:pPr>
          </w:p>
        </w:tc>
        <w:tc>
          <w:tcPr>
            <w:tcW w:w="1431" w:type="dxa"/>
            <w:shd w:val="clear" w:color="auto" w:fill="auto"/>
            <w:tcMar>
              <w:top w:w="72" w:type="dxa"/>
              <w:left w:w="144" w:type="dxa"/>
              <w:bottom w:w="72" w:type="dxa"/>
              <w:right w:w="144" w:type="dxa"/>
            </w:tcMar>
          </w:tcPr>
          <w:p w14:paraId="32FFD20B" w14:textId="77777777" w:rsidR="00462FC1" w:rsidRPr="00A91E8E" w:rsidRDefault="00462FC1" w:rsidP="00DE3851">
            <w:pPr>
              <w:spacing w:after="0" w:line="240" w:lineRule="auto"/>
              <w:rPr>
                <w:rFonts w:ascii="Garamond" w:hAnsi="Garamond"/>
                <w:color w:val="000000" w:themeColor="text1"/>
                <w:sz w:val="24"/>
                <w:szCs w:val="24"/>
              </w:rPr>
            </w:pPr>
          </w:p>
        </w:tc>
      </w:tr>
      <w:tr w:rsidR="00462FC1" w:rsidRPr="00A91E8E" w14:paraId="4D228DE8" w14:textId="77777777" w:rsidTr="00DE3851">
        <w:trPr>
          <w:trHeight w:hRule="exact" w:val="2062"/>
        </w:trPr>
        <w:tc>
          <w:tcPr>
            <w:tcW w:w="3060" w:type="dxa"/>
            <w:shd w:val="clear" w:color="auto" w:fill="auto"/>
            <w:tcMar>
              <w:top w:w="72" w:type="dxa"/>
              <w:left w:w="144" w:type="dxa"/>
              <w:bottom w:w="72" w:type="dxa"/>
              <w:right w:w="144" w:type="dxa"/>
            </w:tcMar>
            <w:hideMark/>
          </w:tcPr>
          <w:p w14:paraId="2A2E8B13"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u w:val="single"/>
              </w:rPr>
              <w:lastRenderedPageBreak/>
              <w:t>Acquiring Firm Shareholders</w:t>
            </w:r>
          </w:p>
          <w:p w14:paraId="569A2933"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Shares Outstanding</w:t>
            </w:r>
          </w:p>
          <w:p w14:paraId="732B6670"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New Shares Issued </w:t>
            </w:r>
          </w:p>
          <w:p w14:paraId="6305B984"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Total Shares Outstanding</w:t>
            </w:r>
          </w:p>
        </w:tc>
        <w:tc>
          <w:tcPr>
            <w:tcW w:w="1440" w:type="dxa"/>
            <w:shd w:val="clear" w:color="auto" w:fill="auto"/>
            <w:tcMar>
              <w:top w:w="72" w:type="dxa"/>
              <w:left w:w="144" w:type="dxa"/>
              <w:bottom w:w="72" w:type="dxa"/>
              <w:right w:w="144" w:type="dxa"/>
            </w:tcMar>
          </w:tcPr>
          <w:p w14:paraId="6DAAED45" w14:textId="77777777" w:rsidR="00462FC1" w:rsidRPr="00A91E8E" w:rsidRDefault="00462FC1" w:rsidP="00DE3851">
            <w:pPr>
              <w:spacing w:after="0" w:line="240" w:lineRule="auto"/>
              <w:rPr>
                <w:rFonts w:ascii="Garamond" w:hAnsi="Garamond"/>
                <w:color w:val="000000" w:themeColor="text1"/>
                <w:sz w:val="24"/>
                <w:szCs w:val="24"/>
              </w:rPr>
            </w:pPr>
          </w:p>
        </w:tc>
        <w:tc>
          <w:tcPr>
            <w:tcW w:w="1440" w:type="dxa"/>
            <w:shd w:val="clear" w:color="auto" w:fill="auto"/>
            <w:tcMar>
              <w:top w:w="72" w:type="dxa"/>
              <w:left w:w="144" w:type="dxa"/>
              <w:bottom w:w="72" w:type="dxa"/>
              <w:right w:w="144" w:type="dxa"/>
            </w:tcMar>
          </w:tcPr>
          <w:p w14:paraId="515D549F" w14:textId="77777777" w:rsidR="00462FC1" w:rsidRPr="00A91E8E" w:rsidRDefault="00462FC1" w:rsidP="00DE3851">
            <w:pPr>
              <w:spacing w:after="0" w:line="240" w:lineRule="auto"/>
              <w:rPr>
                <w:rFonts w:ascii="Garamond" w:hAnsi="Garamond"/>
                <w:color w:val="000000" w:themeColor="text1"/>
                <w:sz w:val="24"/>
                <w:szCs w:val="24"/>
              </w:rPr>
            </w:pPr>
          </w:p>
        </w:tc>
        <w:tc>
          <w:tcPr>
            <w:tcW w:w="1464" w:type="dxa"/>
            <w:shd w:val="clear" w:color="auto" w:fill="auto"/>
            <w:tcMar>
              <w:top w:w="72" w:type="dxa"/>
              <w:left w:w="144" w:type="dxa"/>
              <w:bottom w:w="72" w:type="dxa"/>
              <w:right w:w="144" w:type="dxa"/>
            </w:tcMar>
          </w:tcPr>
          <w:p w14:paraId="0484289D" w14:textId="77777777" w:rsidR="00462FC1" w:rsidRPr="00A91E8E" w:rsidRDefault="00462FC1" w:rsidP="00DE3851">
            <w:pPr>
              <w:spacing w:after="0" w:line="240" w:lineRule="auto"/>
              <w:rPr>
                <w:rFonts w:ascii="Garamond" w:hAnsi="Garamond"/>
                <w:color w:val="000000" w:themeColor="text1"/>
                <w:sz w:val="24"/>
                <w:szCs w:val="24"/>
              </w:rPr>
            </w:pPr>
          </w:p>
        </w:tc>
        <w:tc>
          <w:tcPr>
            <w:tcW w:w="1431" w:type="dxa"/>
            <w:shd w:val="clear" w:color="auto" w:fill="auto"/>
            <w:tcMar>
              <w:top w:w="72" w:type="dxa"/>
              <w:left w:w="144" w:type="dxa"/>
              <w:bottom w:w="72" w:type="dxa"/>
              <w:right w:w="144" w:type="dxa"/>
            </w:tcMar>
          </w:tcPr>
          <w:p w14:paraId="5D16C223" w14:textId="77777777" w:rsidR="00462FC1" w:rsidRPr="00A91E8E" w:rsidRDefault="00462FC1" w:rsidP="00DE3851">
            <w:pPr>
              <w:spacing w:after="0" w:line="240" w:lineRule="auto"/>
              <w:rPr>
                <w:rFonts w:ascii="Garamond" w:hAnsi="Garamond"/>
                <w:color w:val="000000" w:themeColor="text1"/>
                <w:sz w:val="24"/>
                <w:szCs w:val="24"/>
              </w:rPr>
            </w:pPr>
          </w:p>
        </w:tc>
      </w:tr>
    </w:tbl>
    <w:p w14:paraId="41AAEB47" w14:textId="7AE34D4A" w:rsidR="00462FC1" w:rsidRPr="00A91E8E" w:rsidRDefault="00C26288" w:rsidP="00C26288">
      <w:pPr>
        <w:ind w:firstLine="720"/>
        <w:rPr>
          <w:rFonts w:ascii="Garamond" w:hAnsi="Garamond"/>
          <w:color w:val="000000" w:themeColor="text1"/>
          <w:sz w:val="24"/>
          <w:szCs w:val="24"/>
        </w:rPr>
      </w:pPr>
      <w:r>
        <w:rPr>
          <w:rFonts w:ascii="Garamond" w:hAnsi="Garamond"/>
          <w:color w:val="000000" w:themeColor="text1"/>
          <w:sz w:val="24"/>
          <w:szCs w:val="24"/>
        </w:rPr>
        <w:t>(</w:t>
      </w:r>
      <w:r w:rsidRPr="00F52D42">
        <w:rPr>
          <w:rFonts w:ascii="Garamond" w:hAnsi="Garamond"/>
          <w:i/>
          <w:color w:val="000000" w:themeColor="text1"/>
          <w:sz w:val="24"/>
          <w:szCs w:val="24"/>
        </w:rPr>
        <w:t>Hint: please refer to lecture slide set.</w:t>
      </w:r>
      <w:r>
        <w:rPr>
          <w:rFonts w:ascii="Garamond" w:hAnsi="Garamond"/>
          <w:i/>
          <w:color w:val="000000" w:themeColor="text1"/>
          <w:sz w:val="24"/>
          <w:szCs w:val="24"/>
        </w:rPr>
        <w:t>)</w:t>
      </w:r>
    </w:p>
    <w:p w14:paraId="00E79BCE" w14:textId="7856CCEE" w:rsidR="00462FC1" w:rsidRPr="00F52D42" w:rsidRDefault="00462FC1" w:rsidP="00FD1C48">
      <w:pPr>
        <w:pStyle w:val="ListParagraph"/>
        <w:numPr>
          <w:ilvl w:val="0"/>
          <w:numId w:val="1"/>
        </w:numPr>
        <w:rPr>
          <w:rFonts w:ascii="Garamond" w:hAnsi="Garamond"/>
          <w:color w:val="000000" w:themeColor="text1"/>
          <w:sz w:val="24"/>
          <w:szCs w:val="24"/>
        </w:rPr>
      </w:pPr>
      <w:r w:rsidRPr="00F52D42">
        <w:rPr>
          <w:rFonts w:ascii="Garamond" w:hAnsi="Garamond"/>
          <w:color w:val="000000" w:themeColor="text1"/>
          <w:sz w:val="24"/>
          <w:szCs w:val="24"/>
        </w:rPr>
        <w:t>Please discuss (1) pro-active takeover defenses; (2) deal-embedded takeover defenses; and (3) reactive takeover defenses.</w:t>
      </w:r>
      <w:r w:rsidR="00F52D42">
        <w:rPr>
          <w:rFonts w:ascii="Garamond" w:hAnsi="Garamond"/>
          <w:color w:val="000000" w:themeColor="text1"/>
          <w:sz w:val="24"/>
          <w:szCs w:val="24"/>
        </w:rPr>
        <w:t xml:space="preserve"> </w:t>
      </w:r>
      <w:r w:rsidR="00C26288">
        <w:rPr>
          <w:rFonts w:ascii="Garamond" w:hAnsi="Garamond"/>
          <w:color w:val="000000" w:themeColor="text1"/>
          <w:sz w:val="24"/>
          <w:szCs w:val="24"/>
        </w:rPr>
        <w:t>(</w:t>
      </w:r>
      <w:r w:rsidRPr="00F52D42">
        <w:rPr>
          <w:rFonts w:ascii="Garamond" w:hAnsi="Garamond"/>
          <w:i/>
          <w:color w:val="000000" w:themeColor="text1"/>
          <w:sz w:val="24"/>
          <w:szCs w:val="24"/>
        </w:rPr>
        <w:t>Hint: please refer to lecture slide set.</w:t>
      </w:r>
      <w:r w:rsidR="00C26288">
        <w:rPr>
          <w:rFonts w:ascii="Garamond" w:hAnsi="Garamond"/>
          <w:i/>
          <w:color w:val="000000" w:themeColor="text1"/>
          <w:sz w:val="24"/>
          <w:szCs w:val="24"/>
        </w:rPr>
        <w:t>)</w:t>
      </w:r>
    </w:p>
    <w:p w14:paraId="550E6740" w14:textId="77777777" w:rsidR="00F52D42" w:rsidRPr="00F52D42" w:rsidRDefault="00F52D42" w:rsidP="00F52D42">
      <w:pPr>
        <w:pStyle w:val="ListParagraph"/>
        <w:rPr>
          <w:rFonts w:ascii="Garamond" w:hAnsi="Garamond"/>
          <w:color w:val="000000" w:themeColor="text1"/>
          <w:sz w:val="24"/>
          <w:szCs w:val="24"/>
        </w:rPr>
      </w:pPr>
    </w:p>
    <w:p w14:paraId="5050EDC0" w14:textId="77777777" w:rsidR="00462FC1" w:rsidRPr="00A91E8E" w:rsidRDefault="00462FC1" w:rsidP="00FD1C48">
      <w:pPr>
        <w:pStyle w:val="ListParagraph"/>
        <w:numPr>
          <w:ilvl w:val="0"/>
          <w:numId w:val="1"/>
        </w:numPr>
        <w:rPr>
          <w:rFonts w:ascii="Garamond" w:hAnsi="Garamond"/>
          <w:color w:val="000000" w:themeColor="text1"/>
          <w:sz w:val="24"/>
          <w:szCs w:val="24"/>
        </w:rPr>
      </w:pPr>
      <w:r w:rsidRPr="00A91E8E">
        <w:rPr>
          <w:rFonts w:ascii="Garamond" w:hAnsi="Garamond"/>
          <w:color w:val="000000" w:themeColor="text1"/>
          <w:sz w:val="24"/>
          <w:szCs w:val="24"/>
        </w:rPr>
        <w:t>In class we discussed the example of a poison pill implementation with or without the distribution of dividends, following Professor Robert Bruner’s example in “Poison Pill Dilution Ch.33.xls”, posted on Canvas. Please estimate (in Excel) the raider’s total economic dilution after the pill is triggered if the poison pill “trigger” is alternatively:</w:t>
      </w:r>
    </w:p>
    <w:p w14:paraId="4BBDB644" w14:textId="77777777" w:rsidR="00462FC1" w:rsidRPr="00A91E8E" w:rsidRDefault="00462FC1" w:rsidP="00462FC1">
      <w:pPr>
        <w:pStyle w:val="ListParagraph"/>
        <w:numPr>
          <w:ilvl w:val="1"/>
          <w:numId w:val="5"/>
        </w:numPr>
        <w:rPr>
          <w:rFonts w:ascii="Garamond" w:hAnsi="Garamond"/>
          <w:color w:val="000000" w:themeColor="text1"/>
          <w:sz w:val="24"/>
          <w:szCs w:val="24"/>
        </w:rPr>
      </w:pPr>
      <w:r w:rsidRPr="00A91E8E">
        <w:rPr>
          <w:rFonts w:ascii="Garamond" w:hAnsi="Garamond"/>
          <w:color w:val="000000" w:themeColor="text1"/>
          <w:sz w:val="24"/>
          <w:szCs w:val="24"/>
        </w:rPr>
        <w:t>5%</w:t>
      </w:r>
    </w:p>
    <w:p w14:paraId="48063A00" w14:textId="77777777" w:rsidR="00462FC1" w:rsidRPr="00A91E8E" w:rsidRDefault="00462FC1" w:rsidP="00462FC1">
      <w:pPr>
        <w:pStyle w:val="ListParagraph"/>
        <w:numPr>
          <w:ilvl w:val="1"/>
          <w:numId w:val="5"/>
        </w:numPr>
        <w:rPr>
          <w:rFonts w:ascii="Garamond" w:hAnsi="Garamond"/>
          <w:color w:val="000000" w:themeColor="text1"/>
          <w:sz w:val="24"/>
          <w:szCs w:val="24"/>
        </w:rPr>
      </w:pPr>
      <w:r w:rsidRPr="00A91E8E">
        <w:rPr>
          <w:rFonts w:ascii="Garamond" w:hAnsi="Garamond"/>
          <w:color w:val="000000" w:themeColor="text1"/>
          <w:sz w:val="24"/>
          <w:szCs w:val="24"/>
        </w:rPr>
        <w:t>10%</w:t>
      </w:r>
    </w:p>
    <w:p w14:paraId="31EBF009" w14:textId="77777777" w:rsidR="00462FC1" w:rsidRPr="00A91E8E" w:rsidRDefault="00462FC1" w:rsidP="00462FC1">
      <w:pPr>
        <w:pStyle w:val="ListParagraph"/>
        <w:numPr>
          <w:ilvl w:val="1"/>
          <w:numId w:val="5"/>
        </w:numPr>
        <w:rPr>
          <w:rFonts w:ascii="Garamond" w:hAnsi="Garamond"/>
          <w:color w:val="000000" w:themeColor="text1"/>
          <w:sz w:val="24"/>
          <w:szCs w:val="24"/>
        </w:rPr>
      </w:pPr>
      <w:r w:rsidRPr="00A91E8E">
        <w:rPr>
          <w:rFonts w:ascii="Garamond" w:hAnsi="Garamond"/>
          <w:color w:val="000000" w:themeColor="text1"/>
          <w:sz w:val="24"/>
          <w:szCs w:val="24"/>
        </w:rPr>
        <w:t>15%</w:t>
      </w:r>
    </w:p>
    <w:p w14:paraId="43646189" w14:textId="77777777" w:rsidR="00462FC1" w:rsidRPr="00A91E8E" w:rsidRDefault="00462FC1" w:rsidP="00462FC1">
      <w:pPr>
        <w:pStyle w:val="ListParagraph"/>
        <w:numPr>
          <w:ilvl w:val="1"/>
          <w:numId w:val="5"/>
        </w:numPr>
        <w:rPr>
          <w:rFonts w:ascii="Garamond" w:hAnsi="Garamond"/>
          <w:i/>
          <w:color w:val="000000" w:themeColor="text1"/>
          <w:sz w:val="24"/>
          <w:szCs w:val="24"/>
        </w:rPr>
      </w:pPr>
      <w:r w:rsidRPr="00A91E8E">
        <w:rPr>
          <w:rFonts w:ascii="Garamond" w:hAnsi="Garamond"/>
          <w:color w:val="000000" w:themeColor="text1"/>
          <w:sz w:val="24"/>
          <w:szCs w:val="24"/>
        </w:rPr>
        <w:t xml:space="preserve">20% </w:t>
      </w:r>
      <w:r w:rsidRPr="00A91E8E">
        <w:rPr>
          <w:rFonts w:ascii="Garamond" w:hAnsi="Garamond"/>
          <w:i/>
          <w:color w:val="000000" w:themeColor="text1"/>
          <w:sz w:val="24"/>
          <w:szCs w:val="24"/>
        </w:rPr>
        <w:t>(hint: this is the baseline scenario shown in the spreadsheet)</w:t>
      </w:r>
    </w:p>
    <w:p w14:paraId="7CFE9D8E" w14:textId="77777777" w:rsidR="00462FC1" w:rsidRDefault="00462FC1" w:rsidP="00462FC1">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Which of the four “trigger” scenarios is the costliest to the raider? Does the anticipated distribution of a dividend cause a change in the raider’s total economic dilution after the pill is triggered? Please explain. </w:t>
      </w:r>
    </w:p>
    <w:p w14:paraId="25EAF41E" w14:textId="3E7A62B5" w:rsidR="00375C11" w:rsidRPr="001561FD" w:rsidRDefault="00462FC1" w:rsidP="00F52D42">
      <w:pPr>
        <w:jc w:val="center"/>
        <w:rPr>
          <w:rFonts w:ascii="Garamond" w:hAnsi="Garamond"/>
          <w:b/>
          <w:color w:val="000000" w:themeColor="text1"/>
          <w:sz w:val="24"/>
          <w:szCs w:val="24"/>
          <w:u w:val="single"/>
        </w:rPr>
      </w:pPr>
      <w:r>
        <w:rPr>
          <w:rFonts w:ascii="Garamond" w:hAnsi="Garamond"/>
          <w:color w:val="000000" w:themeColor="text1"/>
          <w:sz w:val="24"/>
          <w:szCs w:val="24"/>
        </w:rPr>
        <w:t>(</w:t>
      </w:r>
      <w:r w:rsidRPr="00A91E8E">
        <w:rPr>
          <w:rFonts w:ascii="Garamond" w:hAnsi="Garamond"/>
          <w:i/>
          <w:color w:val="000000" w:themeColor="text1"/>
          <w:sz w:val="24"/>
          <w:szCs w:val="24"/>
        </w:rPr>
        <w:t>Hint: please use the Excel spreadsheet “Poison Pill Dilution Ch.33.xls</w:t>
      </w:r>
      <w:r>
        <w:rPr>
          <w:rFonts w:ascii="Garamond" w:hAnsi="Garamond"/>
          <w:i/>
          <w:color w:val="000000" w:themeColor="text1"/>
          <w:sz w:val="24"/>
          <w:szCs w:val="24"/>
        </w:rPr>
        <w:t>x</w:t>
      </w:r>
      <w:r w:rsidRPr="00A91E8E">
        <w:rPr>
          <w:rFonts w:ascii="Garamond" w:hAnsi="Garamond"/>
          <w:i/>
          <w:color w:val="000000" w:themeColor="text1"/>
          <w:sz w:val="24"/>
          <w:szCs w:val="24"/>
        </w:rPr>
        <w:t>” on Canvas.</w:t>
      </w:r>
      <w:r>
        <w:rPr>
          <w:rFonts w:ascii="Garamond" w:hAnsi="Garamond"/>
          <w:i/>
          <w:color w:val="000000" w:themeColor="text1"/>
          <w:sz w:val="24"/>
          <w:szCs w:val="24"/>
        </w:rPr>
        <w:t>)</w:t>
      </w:r>
    </w:p>
    <w:p w14:paraId="6F746FDA" w14:textId="77777777" w:rsidR="00F52D42" w:rsidRDefault="00F52D42" w:rsidP="004C3EE5">
      <w:pPr>
        <w:jc w:val="center"/>
        <w:rPr>
          <w:rFonts w:ascii="Garamond" w:hAnsi="Garamond"/>
          <w:b/>
          <w:color w:val="000000" w:themeColor="text1"/>
          <w:sz w:val="24"/>
          <w:szCs w:val="24"/>
          <w:u w:val="single"/>
        </w:rPr>
      </w:pPr>
    </w:p>
    <w:p w14:paraId="41A3EA75" w14:textId="78299CE2" w:rsidR="004C3EE5" w:rsidRPr="001561FD" w:rsidRDefault="00266085" w:rsidP="004C3EE5">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#7</w:t>
      </w:r>
      <w:r w:rsidR="004C3EE5" w:rsidRPr="001561FD">
        <w:rPr>
          <w:rFonts w:ascii="Garamond" w:hAnsi="Garamond"/>
          <w:b/>
          <w:color w:val="000000" w:themeColor="text1"/>
          <w:sz w:val="24"/>
          <w:szCs w:val="24"/>
          <w:u w:val="single"/>
        </w:rPr>
        <w:t>: M&amp;A Contract</w:t>
      </w:r>
    </w:p>
    <w:p w14:paraId="181398F3" w14:textId="4662841D" w:rsidR="004C3EE5" w:rsidRPr="00F52D42" w:rsidRDefault="006D56E9" w:rsidP="00FD1C48">
      <w:pPr>
        <w:pStyle w:val="ListParagraph"/>
        <w:numPr>
          <w:ilvl w:val="0"/>
          <w:numId w:val="1"/>
        </w:numPr>
        <w:jc w:val="both"/>
        <w:rPr>
          <w:rFonts w:ascii="Garamond" w:hAnsi="Garamond"/>
          <w:color w:val="000000" w:themeColor="text1"/>
          <w:sz w:val="24"/>
          <w:szCs w:val="24"/>
        </w:rPr>
      </w:pPr>
      <w:r w:rsidRPr="00F52D42">
        <w:rPr>
          <w:rFonts w:ascii="Garamond" w:hAnsi="Garamond"/>
          <w:color w:val="000000" w:themeColor="text1"/>
          <w:sz w:val="24"/>
          <w:szCs w:val="24"/>
        </w:rPr>
        <w:t>Pleases discuss the MAE</w:t>
      </w:r>
      <w:r w:rsidR="00F52D42">
        <w:rPr>
          <w:rFonts w:ascii="Garamond" w:hAnsi="Garamond"/>
          <w:color w:val="000000" w:themeColor="text1"/>
          <w:sz w:val="24"/>
          <w:szCs w:val="24"/>
        </w:rPr>
        <w:t xml:space="preserve">/ </w:t>
      </w:r>
      <w:r w:rsidRPr="00F52D42">
        <w:rPr>
          <w:rFonts w:ascii="Garamond" w:hAnsi="Garamond"/>
          <w:color w:val="000000" w:themeColor="text1"/>
          <w:sz w:val="24"/>
          <w:szCs w:val="24"/>
        </w:rPr>
        <w:t>MAC clauses. How do these clauses work and how frequently were they included in private target acquisitions in 2015?</w:t>
      </w:r>
      <w:r w:rsidR="00CC7326" w:rsidRPr="00F52D42">
        <w:rPr>
          <w:rFonts w:ascii="Garamond" w:hAnsi="Garamond"/>
          <w:color w:val="000000" w:themeColor="text1"/>
          <w:sz w:val="24"/>
          <w:szCs w:val="24"/>
        </w:rPr>
        <w:t xml:space="preserve"> </w:t>
      </w:r>
      <w:r w:rsidR="00C26288">
        <w:rPr>
          <w:rFonts w:ascii="Garamond" w:hAnsi="Garamond"/>
          <w:color w:val="000000" w:themeColor="text1"/>
          <w:sz w:val="24"/>
          <w:szCs w:val="24"/>
        </w:rPr>
        <w:t>(</w:t>
      </w:r>
      <w:r w:rsidR="00CC7326" w:rsidRPr="00F52D42">
        <w:rPr>
          <w:rFonts w:ascii="Garamond" w:hAnsi="Garamond"/>
          <w:i/>
          <w:color w:val="000000" w:themeColor="text1"/>
          <w:sz w:val="24"/>
          <w:szCs w:val="24"/>
        </w:rPr>
        <w:t>Hints: the answer is noted in the slide set.</w:t>
      </w:r>
      <w:r w:rsidR="00C26288">
        <w:rPr>
          <w:rFonts w:ascii="Garamond" w:hAnsi="Garamond"/>
          <w:i/>
          <w:color w:val="000000" w:themeColor="text1"/>
          <w:sz w:val="24"/>
          <w:szCs w:val="24"/>
        </w:rPr>
        <w:t>)</w:t>
      </w:r>
    </w:p>
    <w:p w14:paraId="42DF61D1" w14:textId="77777777" w:rsidR="001F2B50" w:rsidRPr="001561FD" w:rsidRDefault="001F2B50" w:rsidP="007A1B29">
      <w:pPr>
        <w:pStyle w:val="ListParagraph"/>
        <w:jc w:val="both"/>
        <w:rPr>
          <w:rFonts w:ascii="Garamond" w:hAnsi="Garamond"/>
          <w:color w:val="000000" w:themeColor="text1"/>
          <w:sz w:val="24"/>
          <w:szCs w:val="24"/>
        </w:rPr>
      </w:pPr>
    </w:p>
    <w:p w14:paraId="6C9A2103" w14:textId="7A48EEE3" w:rsidR="00462FC1" w:rsidRDefault="001F2B50" w:rsidP="00FD1C48">
      <w:pPr>
        <w:pStyle w:val="ListParagraph"/>
        <w:numPr>
          <w:ilvl w:val="0"/>
          <w:numId w:val="1"/>
        </w:numPr>
        <w:jc w:val="both"/>
        <w:rPr>
          <w:rFonts w:ascii="Garamond" w:hAnsi="Garamond"/>
          <w:i/>
          <w:color w:val="000000" w:themeColor="text1"/>
          <w:sz w:val="24"/>
          <w:szCs w:val="24"/>
        </w:rPr>
      </w:pPr>
      <w:r w:rsidRPr="00F52D42">
        <w:rPr>
          <w:rFonts w:ascii="Garamond" w:hAnsi="Garamond"/>
          <w:color w:val="000000" w:themeColor="text1"/>
          <w:sz w:val="24"/>
          <w:szCs w:val="24"/>
        </w:rPr>
        <w:t>Please discuss the following clauses: sandbagging</w:t>
      </w:r>
      <w:r w:rsidR="00F52D42">
        <w:rPr>
          <w:rFonts w:ascii="Garamond" w:hAnsi="Garamond"/>
          <w:color w:val="000000" w:themeColor="text1"/>
          <w:sz w:val="24"/>
          <w:szCs w:val="24"/>
        </w:rPr>
        <w:t xml:space="preserve"> clause</w:t>
      </w:r>
      <w:r w:rsidRPr="00F52D42">
        <w:rPr>
          <w:rFonts w:ascii="Garamond" w:hAnsi="Garamond"/>
          <w:color w:val="000000" w:themeColor="text1"/>
          <w:sz w:val="24"/>
          <w:szCs w:val="24"/>
        </w:rPr>
        <w:t>, basket</w:t>
      </w:r>
      <w:r w:rsidR="00F52D42">
        <w:rPr>
          <w:rFonts w:ascii="Garamond" w:hAnsi="Garamond"/>
          <w:color w:val="000000" w:themeColor="text1"/>
          <w:sz w:val="24"/>
          <w:szCs w:val="24"/>
        </w:rPr>
        <w:t xml:space="preserve"> clause</w:t>
      </w:r>
      <w:r w:rsidRPr="00F52D42">
        <w:rPr>
          <w:rFonts w:ascii="Garamond" w:hAnsi="Garamond"/>
          <w:color w:val="000000" w:themeColor="text1"/>
          <w:sz w:val="24"/>
          <w:szCs w:val="24"/>
        </w:rPr>
        <w:t>, and “no</w:t>
      </w:r>
      <w:r w:rsidR="00F52D42">
        <w:rPr>
          <w:rFonts w:ascii="Garamond" w:hAnsi="Garamond"/>
          <w:color w:val="000000" w:themeColor="text1"/>
          <w:sz w:val="24"/>
          <w:szCs w:val="24"/>
        </w:rPr>
        <w:t>-</w:t>
      </w:r>
      <w:r w:rsidRPr="00F52D42">
        <w:rPr>
          <w:rFonts w:ascii="Garamond" w:hAnsi="Garamond"/>
          <w:color w:val="000000" w:themeColor="text1"/>
          <w:sz w:val="24"/>
          <w:szCs w:val="24"/>
        </w:rPr>
        <w:t>shop</w:t>
      </w:r>
      <w:r w:rsidR="00F52D42">
        <w:rPr>
          <w:rFonts w:ascii="Garamond" w:hAnsi="Garamond"/>
          <w:color w:val="000000" w:themeColor="text1"/>
          <w:sz w:val="24"/>
          <w:szCs w:val="24"/>
        </w:rPr>
        <w:t>/no-talk</w:t>
      </w:r>
      <w:r w:rsidRPr="00F52D42">
        <w:rPr>
          <w:rFonts w:ascii="Garamond" w:hAnsi="Garamond"/>
          <w:color w:val="000000" w:themeColor="text1"/>
          <w:sz w:val="24"/>
          <w:szCs w:val="24"/>
        </w:rPr>
        <w:t>”</w:t>
      </w:r>
      <w:r w:rsidR="00F52D42">
        <w:rPr>
          <w:rFonts w:ascii="Garamond" w:hAnsi="Garamond"/>
          <w:color w:val="000000" w:themeColor="text1"/>
          <w:sz w:val="24"/>
          <w:szCs w:val="24"/>
        </w:rPr>
        <w:t xml:space="preserve"> clause</w:t>
      </w:r>
      <w:r w:rsidRPr="00F52D42">
        <w:rPr>
          <w:rFonts w:ascii="Garamond" w:hAnsi="Garamond"/>
          <w:color w:val="000000" w:themeColor="text1"/>
          <w:sz w:val="24"/>
          <w:szCs w:val="24"/>
        </w:rPr>
        <w:t>. How do these clauses work and how frequently were they included in private target acquisitions in 2015?</w:t>
      </w:r>
      <w:r w:rsidR="00CC7326" w:rsidRPr="00F52D42">
        <w:rPr>
          <w:rFonts w:ascii="Garamond" w:hAnsi="Garamond"/>
          <w:color w:val="000000" w:themeColor="text1"/>
          <w:sz w:val="24"/>
          <w:szCs w:val="24"/>
        </w:rPr>
        <w:t xml:space="preserve"> </w:t>
      </w:r>
      <w:r w:rsidR="00F52D42">
        <w:rPr>
          <w:rFonts w:ascii="Garamond" w:hAnsi="Garamond"/>
          <w:color w:val="000000" w:themeColor="text1"/>
          <w:sz w:val="24"/>
          <w:szCs w:val="24"/>
        </w:rPr>
        <w:t xml:space="preserve"> </w:t>
      </w:r>
      <w:r w:rsidR="00C26288">
        <w:rPr>
          <w:rFonts w:ascii="Garamond" w:hAnsi="Garamond"/>
          <w:color w:val="000000" w:themeColor="text1"/>
          <w:sz w:val="24"/>
          <w:szCs w:val="24"/>
        </w:rPr>
        <w:t>(</w:t>
      </w:r>
      <w:r w:rsidR="00CC7326" w:rsidRPr="00F52D42">
        <w:rPr>
          <w:rFonts w:ascii="Garamond" w:hAnsi="Garamond"/>
          <w:i/>
          <w:color w:val="000000" w:themeColor="text1"/>
          <w:sz w:val="24"/>
          <w:szCs w:val="24"/>
        </w:rPr>
        <w:t>Hints: the answer is noted in the slide set.</w:t>
      </w:r>
      <w:r w:rsidR="00C26288">
        <w:rPr>
          <w:rFonts w:ascii="Garamond" w:hAnsi="Garamond"/>
          <w:i/>
          <w:color w:val="000000" w:themeColor="text1"/>
          <w:sz w:val="24"/>
          <w:szCs w:val="24"/>
        </w:rPr>
        <w:t>)</w:t>
      </w:r>
    </w:p>
    <w:p w14:paraId="7B3BD6D7" w14:textId="77777777" w:rsidR="00F52D42" w:rsidRPr="00F52D42" w:rsidRDefault="00F52D42" w:rsidP="00F52D42">
      <w:pPr>
        <w:pStyle w:val="ListParagraph"/>
        <w:rPr>
          <w:rFonts w:ascii="Garamond" w:hAnsi="Garamond"/>
          <w:i/>
          <w:color w:val="000000" w:themeColor="text1"/>
          <w:sz w:val="24"/>
          <w:szCs w:val="24"/>
        </w:rPr>
      </w:pPr>
    </w:p>
    <w:p w14:paraId="59786808" w14:textId="60D79A5E" w:rsidR="00F52D42" w:rsidRPr="00F52D42" w:rsidRDefault="00F52D42" w:rsidP="00FD1C48">
      <w:pPr>
        <w:pStyle w:val="ListParagraph"/>
        <w:numPr>
          <w:ilvl w:val="0"/>
          <w:numId w:val="1"/>
        </w:numPr>
        <w:jc w:val="both"/>
        <w:rPr>
          <w:rFonts w:ascii="Garamond" w:hAnsi="Garamond"/>
          <w:i/>
          <w:color w:val="000000" w:themeColor="text1"/>
          <w:sz w:val="24"/>
          <w:szCs w:val="24"/>
        </w:rPr>
      </w:pPr>
      <w:r w:rsidRPr="00F52D42">
        <w:rPr>
          <w:rFonts w:ascii="Garamond" w:hAnsi="Garamond"/>
          <w:color w:val="000000" w:themeColor="text1"/>
          <w:sz w:val="24"/>
          <w:szCs w:val="24"/>
        </w:rPr>
        <w:t>Please discuss the following clauses:</w:t>
      </w:r>
      <w:r>
        <w:rPr>
          <w:rFonts w:ascii="Garamond" w:hAnsi="Garamond"/>
          <w:color w:val="000000" w:themeColor="text1"/>
          <w:sz w:val="24"/>
          <w:szCs w:val="24"/>
        </w:rPr>
        <w:t xml:space="preserve"> escrow clause, earnout clause, and cap clause</w:t>
      </w:r>
      <w:r w:rsidRPr="00F52D42">
        <w:rPr>
          <w:rFonts w:ascii="Garamond" w:hAnsi="Garamond"/>
          <w:color w:val="000000" w:themeColor="text1"/>
          <w:sz w:val="24"/>
          <w:szCs w:val="24"/>
        </w:rPr>
        <w:t xml:space="preserve">. How do these clauses work and how frequently were they included in private target acquisitions in 2015? </w:t>
      </w:r>
      <w:r>
        <w:rPr>
          <w:rFonts w:ascii="Garamond" w:hAnsi="Garamond"/>
          <w:color w:val="000000" w:themeColor="text1"/>
          <w:sz w:val="24"/>
          <w:szCs w:val="24"/>
        </w:rPr>
        <w:t xml:space="preserve"> </w:t>
      </w:r>
      <w:r w:rsidR="00C26288">
        <w:rPr>
          <w:rFonts w:ascii="Garamond" w:hAnsi="Garamond"/>
          <w:color w:val="000000" w:themeColor="text1"/>
          <w:sz w:val="24"/>
          <w:szCs w:val="24"/>
        </w:rPr>
        <w:t>(</w:t>
      </w:r>
      <w:r w:rsidRPr="00F52D42">
        <w:rPr>
          <w:rFonts w:ascii="Garamond" w:hAnsi="Garamond"/>
          <w:i/>
          <w:color w:val="000000" w:themeColor="text1"/>
          <w:sz w:val="24"/>
          <w:szCs w:val="24"/>
        </w:rPr>
        <w:t>Hints: the answer is noted in the slide set.</w:t>
      </w:r>
      <w:r w:rsidR="00C26288">
        <w:rPr>
          <w:rFonts w:ascii="Garamond" w:hAnsi="Garamond"/>
          <w:i/>
          <w:color w:val="000000" w:themeColor="text1"/>
          <w:sz w:val="24"/>
          <w:szCs w:val="24"/>
        </w:rPr>
        <w:t>)</w:t>
      </w:r>
    </w:p>
    <w:p w14:paraId="6FF16AAC" w14:textId="77777777" w:rsidR="00462FC1" w:rsidRPr="001561FD" w:rsidRDefault="00462FC1" w:rsidP="00462FC1">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#8</w:t>
      </w:r>
      <w:r w:rsidRPr="001561FD">
        <w:rPr>
          <w:rFonts w:ascii="Garamond" w:hAnsi="Garamond"/>
          <w:b/>
          <w:color w:val="000000" w:themeColor="text1"/>
          <w:sz w:val="24"/>
          <w:szCs w:val="24"/>
          <w:u w:val="single"/>
        </w:rPr>
        <w:t>: M&amp;A Regulation</w:t>
      </w:r>
    </w:p>
    <w:p w14:paraId="1B96289F" w14:textId="14631F8D"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anti-trust laws of the Sherman Act (1890), the Clayton Act (1914) and the </w:t>
      </w:r>
      <w:proofErr w:type="spellStart"/>
      <w:r w:rsidRPr="001561FD">
        <w:rPr>
          <w:rFonts w:ascii="Garamond" w:hAnsi="Garamond"/>
          <w:color w:val="000000" w:themeColor="text1"/>
          <w:sz w:val="24"/>
          <w:szCs w:val="24"/>
        </w:rPr>
        <w:t>Celler</w:t>
      </w:r>
      <w:proofErr w:type="spellEnd"/>
      <w:r w:rsidRPr="001561FD">
        <w:rPr>
          <w:rFonts w:ascii="Garamond" w:hAnsi="Garamond"/>
          <w:color w:val="000000" w:themeColor="text1"/>
          <w:sz w:val="24"/>
          <w:szCs w:val="24"/>
        </w:rPr>
        <w:t xml:space="preserve">-Kefauver Act (1950).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6206C2D" w14:textId="77777777" w:rsidR="00F52D42" w:rsidRDefault="00F52D42" w:rsidP="00F52D42">
      <w:pPr>
        <w:pStyle w:val="ListParagraph"/>
        <w:rPr>
          <w:rFonts w:ascii="Garamond" w:hAnsi="Garamond"/>
          <w:color w:val="000000" w:themeColor="text1"/>
          <w:sz w:val="24"/>
          <w:szCs w:val="24"/>
        </w:rPr>
      </w:pPr>
    </w:p>
    <w:p w14:paraId="401765BA" w14:textId="502976F6"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lastRenderedPageBreak/>
        <w:t>Please discuss the mandate of an acquirer to disclose a merger through the Hart-Scott-</w:t>
      </w:r>
      <w:proofErr w:type="spellStart"/>
      <w:r w:rsidRPr="001561FD">
        <w:rPr>
          <w:rFonts w:ascii="Garamond" w:hAnsi="Garamond"/>
          <w:color w:val="000000" w:themeColor="text1"/>
          <w:sz w:val="24"/>
          <w:szCs w:val="24"/>
        </w:rPr>
        <w:t>Rodino</w:t>
      </w:r>
      <w:proofErr w:type="spellEnd"/>
      <w:r w:rsidRPr="001561FD">
        <w:rPr>
          <w:rFonts w:ascii="Garamond" w:hAnsi="Garamond"/>
          <w:color w:val="000000" w:themeColor="text1"/>
          <w:sz w:val="24"/>
          <w:szCs w:val="24"/>
        </w:rPr>
        <w:t xml:space="preserve"> Antitrust Act (1976).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5CA28ABB" w14:textId="77777777" w:rsidR="00F52D42" w:rsidRDefault="00F52D42" w:rsidP="00F52D42">
      <w:pPr>
        <w:pStyle w:val="ListParagraph"/>
        <w:rPr>
          <w:rFonts w:ascii="Garamond" w:hAnsi="Garamond"/>
          <w:color w:val="000000" w:themeColor="text1"/>
          <w:sz w:val="24"/>
          <w:szCs w:val="24"/>
        </w:rPr>
      </w:pPr>
    </w:p>
    <w:p w14:paraId="79A8B4A8" w14:textId="74D739F7"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When can the President of the United States block a merger? Please describe the relevant regulation.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B981ADC" w14:textId="77777777" w:rsidR="00F52D42" w:rsidRDefault="00F52D42" w:rsidP="00F52D42">
      <w:pPr>
        <w:pStyle w:val="ListParagraph"/>
        <w:rPr>
          <w:rFonts w:ascii="Garamond" w:hAnsi="Garamond"/>
          <w:color w:val="000000" w:themeColor="text1"/>
          <w:sz w:val="24"/>
          <w:szCs w:val="24"/>
        </w:rPr>
      </w:pPr>
    </w:p>
    <w:p w14:paraId="7DB4224E" w14:textId="103DAD67"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describe the Williams Act. </w:t>
      </w:r>
      <w:proofErr w:type="gramStart"/>
      <w:r w:rsidRPr="001561FD">
        <w:rPr>
          <w:rFonts w:ascii="Garamond" w:hAnsi="Garamond"/>
          <w:color w:val="000000" w:themeColor="text1"/>
          <w:sz w:val="24"/>
          <w:szCs w:val="24"/>
        </w:rPr>
        <w:t>In particular, please</w:t>
      </w:r>
      <w:proofErr w:type="gramEnd"/>
      <w:r w:rsidRPr="001561FD">
        <w:rPr>
          <w:rFonts w:ascii="Garamond" w:hAnsi="Garamond"/>
          <w:color w:val="000000" w:themeColor="text1"/>
          <w:sz w:val="24"/>
          <w:szCs w:val="24"/>
        </w:rPr>
        <w:t xml:space="preserve"> discuss the (1) one price rule, (2) the period rule, (3) the conditional acceptance rule, and (all holders rule).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5E419445" w14:textId="77777777" w:rsidR="00F52D42" w:rsidRDefault="00F52D42" w:rsidP="00F52D42">
      <w:pPr>
        <w:pStyle w:val="ListParagraph"/>
        <w:rPr>
          <w:rFonts w:ascii="Garamond" w:hAnsi="Garamond"/>
          <w:color w:val="000000" w:themeColor="text1"/>
          <w:sz w:val="24"/>
          <w:szCs w:val="24"/>
        </w:rPr>
      </w:pPr>
    </w:p>
    <w:p w14:paraId="2818E09B" w14:textId="7D31D684"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five-step procedure for U.S. antitrust merger guidelines.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FF8265A" w14:textId="77777777" w:rsidR="00F52D42" w:rsidRDefault="00F52D42" w:rsidP="00F52D42">
      <w:pPr>
        <w:pStyle w:val="ListParagraph"/>
        <w:rPr>
          <w:rFonts w:ascii="Garamond" w:hAnsi="Garamond"/>
          <w:color w:val="000000" w:themeColor="text1"/>
          <w:sz w:val="24"/>
          <w:szCs w:val="24"/>
        </w:rPr>
      </w:pPr>
    </w:p>
    <w:p w14:paraId="49F6EB06" w14:textId="13F5C7DA"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four main state anti-takeover laws, i.e., please provide a list and a brief description of these laws.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2515450A" w14:textId="77777777" w:rsidR="00F52D42" w:rsidRDefault="00F52D42" w:rsidP="00F52D42">
      <w:pPr>
        <w:pStyle w:val="ListParagraph"/>
        <w:rPr>
          <w:rFonts w:ascii="Garamond" w:hAnsi="Garamond"/>
          <w:color w:val="000000" w:themeColor="text1"/>
        </w:rPr>
      </w:pPr>
    </w:p>
    <w:p w14:paraId="2DE6C91C" w14:textId="2DE42968" w:rsidR="00462FC1" w:rsidRPr="001561FD" w:rsidRDefault="00462FC1" w:rsidP="00FD1C48">
      <w:pPr>
        <w:pStyle w:val="ListParagraph"/>
        <w:numPr>
          <w:ilvl w:val="0"/>
          <w:numId w:val="1"/>
        </w:numPr>
        <w:rPr>
          <w:rFonts w:ascii="Garamond" w:hAnsi="Garamond"/>
          <w:color w:val="000000" w:themeColor="text1"/>
        </w:rPr>
      </w:pPr>
      <w:r w:rsidRPr="001561FD">
        <w:rPr>
          <w:rFonts w:ascii="Garamond" w:hAnsi="Garamond"/>
          <w:color w:val="000000" w:themeColor="text1"/>
        </w:rPr>
        <w:t xml:space="preserve">Please consider the following example: </w:t>
      </w:r>
    </w:p>
    <w:tbl>
      <w:tblPr>
        <w:tblW w:w="621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6"/>
        <w:gridCol w:w="1115"/>
        <w:gridCol w:w="1765"/>
        <w:gridCol w:w="1895"/>
      </w:tblGrid>
      <w:tr w:rsidR="00462FC1" w:rsidRPr="001561FD" w14:paraId="1CB45867" w14:textId="77777777" w:rsidTr="00F52D42">
        <w:trPr>
          <w:trHeight w:val="255"/>
        </w:trPr>
        <w:tc>
          <w:tcPr>
            <w:tcW w:w="1174" w:type="dxa"/>
            <w:shd w:val="clear" w:color="auto" w:fill="auto"/>
            <w:noWrap/>
            <w:vAlign w:val="bottom"/>
            <w:hideMark/>
          </w:tcPr>
          <w:p w14:paraId="09BDFF2E" w14:textId="77777777" w:rsidR="00462FC1" w:rsidRPr="001561FD" w:rsidRDefault="00462FC1" w:rsidP="00DE3851">
            <w:pPr>
              <w:spacing w:after="0" w:line="240" w:lineRule="auto"/>
              <w:rPr>
                <w:rFonts w:ascii="Garamond" w:eastAsia="Times New Roman" w:hAnsi="Garamond" w:cs="Times New Roman"/>
                <w:color w:val="000000" w:themeColor="text1"/>
              </w:rPr>
            </w:pPr>
          </w:p>
        </w:tc>
        <w:tc>
          <w:tcPr>
            <w:tcW w:w="266" w:type="dxa"/>
            <w:shd w:val="clear" w:color="auto" w:fill="auto"/>
            <w:noWrap/>
            <w:vAlign w:val="bottom"/>
            <w:hideMark/>
          </w:tcPr>
          <w:p w14:paraId="58F3508A" w14:textId="77777777" w:rsidR="00462FC1" w:rsidRPr="001561FD" w:rsidRDefault="00462FC1" w:rsidP="00DE3851">
            <w:pPr>
              <w:spacing w:after="0" w:line="240" w:lineRule="auto"/>
              <w:rPr>
                <w:rFonts w:ascii="Garamond" w:eastAsia="Times New Roman" w:hAnsi="Garamond" w:cs="Times New Roman"/>
                <w:color w:val="000000" w:themeColor="text1"/>
              </w:rPr>
            </w:pPr>
          </w:p>
        </w:tc>
        <w:tc>
          <w:tcPr>
            <w:tcW w:w="4770" w:type="dxa"/>
            <w:gridSpan w:val="3"/>
            <w:shd w:val="clear" w:color="auto" w:fill="auto"/>
            <w:noWrap/>
            <w:vAlign w:val="bottom"/>
            <w:hideMark/>
          </w:tcPr>
          <w:p w14:paraId="0965AD41" w14:textId="77777777" w:rsidR="00462FC1" w:rsidRPr="001561FD" w:rsidRDefault="00462FC1" w:rsidP="00DE3851">
            <w:pPr>
              <w:spacing w:after="0" w:line="240" w:lineRule="auto"/>
              <w:jc w:val="center"/>
              <w:rPr>
                <w:rFonts w:ascii="Garamond" w:eastAsia="Times New Roman" w:hAnsi="Garamond" w:cs="Arial"/>
                <w:b/>
                <w:bCs/>
                <w:color w:val="000000" w:themeColor="text1"/>
              </w:rPr>
            </w:pPr>
            <w:r w:rsidRPr="001561FD">
              <w:rPr>
                <w:rFonts w:ascii="Garamond" w:eastAsia="Times New Roman" w:hAnsi="Garamond" w:cs="Arial"/>
                <w:b/>
                <w:bCs/>
                <w:color w:val="000000" w:themeColor="text1"/>
              </w:rPr>
              <w:t>Based on Revenues</w:t>
            </w:r>
          </w:p>
        </w:tc>
      </w:tr>
      <w:tr w:rsidR="00462FC1" w:rsidRPr="001561FD" w14:paraId="0A55BBE4" w14:textId="77777777" w:rsidTr="00F52D42">
        <w:trPr>
          <w:trHeight w:val="300"/>
        </w:trPr>
        <w:tc>
          <w:tcPr>
            <w:tcW w:w="1174" w:type="dxa"/>
            <w:shd w:val="clear" w:color="auto" w:fill="auto"/>
            <w:noWrap/>
            <w:vAlign w:val="bottom"/>
            <w:hideMark/>
          </w:tcPr>
          <w:p w14:paraId="4DB02D53" w14:textId="77777777" w:rsidR="00462FC1" w:rsidRPr="001561FD" w:rsidRDefault="00462FC1" w:rsidP="00DE3851">
            <w:pPr>
              <w:spacing w:after="0" w:line="240" w:lineRule="auto"/>
              <w:jc w:val="center"/>
              <w:rPr>
                <w:rFonts w:ascii="Garamond" w:eastAsia="Times New Roman" w:hAnsi="Garamond" w:cs="Arial"/>
                <w:b/>
                <w:bCs/>
                <w:color w:val="000000" w:themeColor="text1"/>
              </w:rPr>
            </w:pPr>
            <w:r w:rsidRPr="001561FD">
              <w:rPr>
                <w:rFonts w:ascii="Garamond" w:eastAsia="Times New Roman" w:hAnsi="Garamond" w:cs="Arial"/>
                <w:b/>
                <w:bCs/>
                <w:color w:val="000000" w:themeColor="text1"/>
              </w:rPr>
              <w:t>Company:</w:t>
            </w:r>
          </w:p>
        </w:tc>
        <w:tc>
          <w:tcPr>
            <w:tcW w:w="266" w:type="dxa"/>
            <w:shd w:val="clear" w:color="auto" w:fill="auto"/>
            <w:noWrap/>
            <w:vAlign w:val="bottom"/>
            <w:hideMark/>
          </w:tcPr>
          <w:p w14:paraId="7AC7B50C" w14:textId="77777777" w:rsidR="00462FC1" w:rsidRPr="001561FD" w:rsidRDefault="00462FC1" w:rsidP="00DE3851">
            <w:pPr>
              <w:spacing w:after="0" w:line="240" w:lineRule="auto"/>
              <w:jc w:val="center"/>
              <w:rPr>
                <w:rFonts w:ascii="Garamond" w:eastAsia="Times New Roman" w:hAnsi="Garamond" w:cs="Times New Roman"/>
                <w:color w:val="000000" w:themeColor="text1"/>
              </w:rPr>
            </w:pPr>
          </w:p>
        </w:tc>
        <w:tc>
          <w:tcPr>
            <w:tcW w:w="1115" w:type="dxa"/>
            <w:shd w:val="clear" w:color="auto" w:fill="auto"/>
            <w:noWrap/>
            <w:vAlign w:val="bottom"/>
            <w:hideMark/>
          </w:tcPr>
          <w:p w14:paraId="5A797CC7" w14:textId="77777777" w:rsidR="00462FC1" w:rsidRPr="001561FD" w:rsidRDefault="00462FC1" w:rsidP="00DE3851">
            <w:pPr>
              <w:spacing w:after="0" w:line="240" w:lineRule="auto"/>
              <w:jc w:val="center"/>
              <w:rPr>
                <w:rFonts w:ascii="Garamond" w:eastAsia="Times New Roman" w:hAnsi="Garamond" w:cs="Arial"/>
                <w:b/>
                <w:bCs/>
                <w:color w:val="000000" w:themeColor="text1"/>
                <w:u w:val="single"/>
              </w:rPr>
            </w:pPr>
            <w:r w:rsidRPr="001561FD">
              <w:rPr>
                <w:rFonts w:ascii="Garamond" w:eastAsia="Times New Roman" w:hAnsi="Garamond" w:cs="Arial"/>
                <w:b/>
                <w:bCs/>
                <w:color w:val="000000" w:themeColor="text1"/>
                <w:u w:val="single"/>
              </w:rPr>
              <w:t>Revenues</w:t>
            </w:r>
          </w:p>
        </w:tc>
        <w:tc>
          <w:tcPr>
            <w:tcW w:w="1765" w:type="dxa"/>
            <w:shd w:val="clear" w:color="auto" w:fill="auto"/>
            <w:noWrap/>
            <w:vAlign w:val="bottom"/>
            <w:hideMark/>
          </w:tcPr>
          <w:p w14:paraId="01B4BC08" w14:textId="77777777" w:rsidR="00462FC1" w:rsidRPr="001561FD" w:rsidRDefault="00462FC1" w:rsidP="00DE3851">
            <w:pPr>
              <w:spacing w:after="0" w:line="240" w:lineRule="auto"/>
              <w:jc w:val="center"/>
              <w:rPr>
                <w:rFonts w:ascii="Garamond" w:eastAsia="Times New Roman" w:hAnsi="Garamond" w:cs="Arial"/>
                <w:b/>
                <w:bCs/>
                <w:color w:val="000000" w:themeColor="text1"/>
                <w:u w:val="single"/>
              </w:rPr>
            </w:pPr>
            <w:r w:rsidRPr="001561FD">
              <w:rPr>
                <w:rFonts w:ascii="Garamond" w:eastAsia="Times New Roman" w:hAnsi="Garamond" w:cs="Arial"/>
                <w:b/>
                <w:bCs/>
                <w:color w:val="000000" w:themeColor="text1"/>
                <w:u w:val="single"/>
              </w:rPr>
              <w:t>% Market Share</w:t>
            </w:r>
          </w:p>
        </w:tc>
        <w:tc>
          <w:tcPr>
            <w:tcW w:w="1890" w:type="dxa"/>
            <w:shd w:val="clear" w:color="auto" w:fill="auto"/>
            <w:noWrap/>
            <w:vAlign w:val="bottom"/>
            <w:hideMark/>
          </w:tcPr>
          <w:p w14:paraId="0D9E3B4D" w14:textId="77777777" w:rsidR="00462FC1" w:rsidRPr="001561FD" w:rsidRDefault="00462FC1" w:rsidP="00DE3851">
            <w:pPr>
              <w:spacing w:after="0" w:line="240" w:lineRule="auto"/>
              <w:jc w:val="center"/>
              <w:rPr>
                <w:rFonts w:ascii="Garamond" w:eastAsia="Times New Roman" w:hAnsi="Garamond" w:cs="Arial"/>
                <w:b/>
                <w:bCs/>
                <w:color w:val="000000" w:themeColor="text1"/>
                <w:u w:val="single"/>
              </w:rPr>
            </w:pPr>
            <w:r w:rsidRPr="001561FD">
              <w:rPr>
                <w:rFonts w:ascii="Garamond" w:eastAsia="Times New Roman" w:hAnsi="Garamond" w:cs="Arial"/>
                <w:b/>
                <w:bCs/>
                <w:color w:val="000000" w:themeColor="text1"/>
                <w:u w:val="single"/>
              </w:rPr>
              <w:t>(Market Share)</w:t>
            </w:r>
            <w:r w:rsidRPr="001561FD">
              <w:rPr>
                <w:rFonts w:ascii="Garamond" w:eastAsia="Times New Roman" w:hAnsi="Garamond" w:cs="Arial"/>
                <w:b/>
                <w:bCs/>
                <w:color w:val="000000" w:themeColor="text1"/>
                <w:u w:val="single"/>
                <w:vertAlign w:val="superscript"/>
              </w:rPr>
              <w:t>2</w:t>
            </w:r>
          </w:p>
        </w:tc>
      </w:tr>
      <w:tr w:rsidR="00462FC1" w:rsidRPr="001561FD" w14:paraId="63622B92" w14:textId="77777777" w:rsidTr="00F52D42">
        <w:trPr>
          <w:trHeight w:val="255"/>
        </w:trPr>
        <w:tc>
          <w:tcPr>
            <w:tcW w:w="1174" w:type="dxa"/>
            <w:shd w:val="clear" w:color="auto" w:fill="auto"/>
            <w:noWrap/>
            <w:vAlign w:val="bottom"/>
            <w:hideMark/>
          </w:tcPr>
          <w:p w14:paraId="1615C5D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w:t>
            </w:r>
          </w:p>
        </w:tc>
        <w:tc>
          <w:tcPr>
            <w:tcW w:w="266" w:type="dxa"/>
            <w:shd w:val="clear" w:color="auto" w:fill="auto"/>
            <w:noWrap/>
            <w:vAlign w:val="bottom"/>
            <w:hideMark/>
          </w:tcPr>
          <w:p w14:paraId="5C5287F0"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6535F80C"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30</w:t>
            </w:r>
          </w:p>
        </w:tc>
        <w:tc>
          <w:tcPr>
            <w:tcW w:w="1765" w:type="dxa"/>
            <w:shd w:val="clear" w:color="auto" w:fill="auto"/>
            <w:noWrap/>
            <w:vAlign w:val="bottom"/>
            <w:hideMark/>
          </w:tcPr>
          <w:p w14:paraId="6279D9D8"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25.0</w:t>
            </w:r>
          </w:p>
        </w:tc>
        <w:tc>
          <w:tcPr>
            <w:tcW w:w="1890" w:type="dxa"/>
            <w:shd w:val="clear" w:color="auto" w:fill="auto"/>
            <w:noWrap/>
            <w:vAlign w:val="bottom"/>
            <w:hideMark/>
          </w:tcPr>
          <w:p w14:paraId="77A72C7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625.0</w:t>
            </w:r>
          </w:p>
        </w:tc>
      </w:tr>
      <w:tr w:rsidR="00462FC1" w:rsidRPr="001561FD" w14:paraId="10852BB7" w14:textId="77777777" w:rsidTr="00F52D42">
        <w:trPr>
          <w:trHeight w:val="255"/>
        </w:trPr>
        <w:tc>
          <w:tcPr>
            <w:tcW w:w="1174" w:type="dxa"/>
            <w:shd w:val="clear" w:color="auto" w:fill="auto"/>
            <w:noWrap/>
            <w:vAlign w:val="bottom"/>
            <w:hideMark/>
          </w:tcPr>
          <w:p w14:paraId="482E659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#2</w:t>
            </w:r>
          </w:p>
        </w:tc>
        <w:tc>
          <w:tcPr>
            <w:tcW w:w="266" w:type="dxa"/>
            <w:shd w:val="clear" w:color="auto" w:fill="auto"/>
            <w:noWrap/>
            <w:vAlign w:val="bottom"/>
            <w:hideMark/>
          </w:tcPr>
          <w:p w14:paraId="36FB4A3C"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615BC27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1840A4A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02F873F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279447A6" w14:textId="77777777" w:rsidTr="00F52D42">
        <w:trPr>
          <w:trHeight w:val="255"/>
        </w:trPr>
        <w:tc>
          <w:tcPr>
            <w:tcW w:w="1174" w:type="dxa"/>
            <w:shd w:val="clear" w:color="auto" w:fill="auto"/>
            <w:noWrap/>
            <w:vAlign w:val="bottom"/>
            <w:hideMark/>
          </w:tcPr>
          <w:p w14:paraId="5FEAB75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#3</w:t>
            </w:r>
          </w:p>
        </w:tc>
        <w:tc>
          <w:tcPr>
            <w:tcW w:w="266" w:type="dxa"/>
            <w:shd w:val="clear" w:color="auto" w:fill="auto"/>
            <w:noWrap/>
            <w:vAlign w:val="bottom"/>
            <w:hideMark/>
          </w:tcPr>
          <w:p w14:paraId="4A8772DF"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494EA3B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68EA6622"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035D265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0697727E" w14:textId="77777777" w:rsidTr="00F52D42">
        <w:trPr>
          <w:trHeight w:val="255"/>
        </w:trPr>
        <w:tc>
          <w:tcPr>
            <w:tcW w:w="1174" w:type="dxa"/>
            <w:shd w:val="clear" w:color="auto" w:fill="auto"/>
            <w:noWrap/>
            <w:vAlign w:val="bottom"/>
            <w:hideMark/>
          </w:tcPr>
          <w:p w14:paraId="7E8D6AB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#4</w:t>
            </w:r>
          </w:p>
        </w:tc>
        <w:tc>
          <w:tcPr>
            <w:tcW w:w="266" w:type="dxa"/>
            <w:shd w:val="clear" w:color="auto" w:fill="auto"/>
            <w:noWrap/>
            <w:vAlign w:val="bottom"/>
            <w:hideMark/>
          </w:tcPr>
          <w:p w14:paraId="1242FBC5"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2EC16499"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4C3D059E"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5C0D558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5A8EEC2D" w14:textId="77777777" w:rsidTr="00F52D42">
        <w:trPr>
          <w:trHeight w:val="255"/>
        </w:trPr>
        <w:tc>
          <w:tcPr>
            <w:tcW w:w="1174" w:type="dxa"/>
            <w:shd w:val="clear" w:color="auto" w:fill="auto"/>
            <w:noWrap/>
            <w:vAlign w:val="bottom"/>
            <w:hideMark/>
          </w:tcPr>
          <w:p w14:paraId="7B0FF9B4"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#5</w:t>
            </w:r>
          </w:p>
        </w:tc>
        <w:tc>
          <w:tcPr>
            <w:tcW w:w="266" w:type="dxa"/>
            <w:shd w:val="clear" w:color="auto" w:fill="auto"/>
            <w:noWrap/>
            <w:vAlign w:val="bottom"/>
            <w:hideMark/>
          </w:tcPr>
          <w:p w14:paraId="2EEB557E"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153B9A38"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2A9808D9"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259830A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1B3C7620" w14:textId="77777777" w:rsidTr="00F52D42">
        <w:trPr>
          <w:trHeight w:val="255"/>
        </w:trPr>
        <w:tc>
          <w:tcPr>
            <w:tcW w:w="1174" w:type="dxa"/>
            <w:shd w:val="clear" w:color="auto" w:fill="auto"/>
            <w:noWrap/>
            <w:vAlign w:val="bottom"/>
            <w:hideMark/>
          </w:tcPr>
          <w:p w14:paraId="38076A1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w:t>
            </w:r>
          </w:p>
        </w:tc>
        <w:tc>
          <w:tcPr>
            <w:tcW w:w="266" w:type="dxa"/>
            <w:shd w:val="clear" w:color="auto" w:fill="auto"/>
            <w:noWrap/>
            <w:vAlign w:val="bottom"/>
            <w:hideMark/>
          </w:tcPr>
          <w:p w14:paraId="0F7CE159"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44DDDEA3"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0EB2DBC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7EA501A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5C057526" w14:textId="77777777" w:rsidTr="00F52D42">
        <w:trPr>
          <w:trHeight w:val="255"/>
        </w:trPr>
        <w:tc>
          <w:tcPr>
            <w:tcW w:w="1174" w:type="dxa"/>
            <w:shd w:val="clear" w:color="auto" w:fill="auto"/>
            <w:noWrap/>
            <w:vAlign w:val="bottom"/>
            <w:hideMark/>
          </w:tcPr>
          <w:p w14:paraId="798C6E2E"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#7</w:t>
            </w:r>
          </w:p>
        </w:tc>
        <w:tc>
          <w:tcPr>
            <w:tcW w:w="266" w:type="dxa"/>
            <w:shd w:val="clear" w:color="auto" w:fill="auto"/>
            <w:noWrap/>
            <w:vAlign w:val="bottom"/>
            <w:hideMark/>
          </w:tcPr>
          <w:p w14:paraId="1B6BE2A2"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14E22783"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43128B1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396E6AD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4AFC9B66" w14:textId="77777777" w:rsidTr="00F52D42">
        <w:trPr>
          <w:trHeight w:val="255"/>
        </w:trPr>
        <w:tc>
          <w:tcPr>
            <w:tcW w:w="1174" w:type="dxa"/>
            <w:shd w:val="clear" w:color="auto" w:fill="auto"/>
            <w:noWrap/>
            <w:vAlign w:val="bottom"/>
            <w:hideMark/>
          </w:tcPr>
          <w:p w14:paraId="586C11BD"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w:t>
            </w:r>
          </w:p>
        </w:tc>
        <w:tc>
          <w:tcPr>
            <w:tcW w:w="266" w:type="dxa"/>
            <w:shd w:val="clear" w:color="auto" w:fill="auto"/>
            <w:noWrap/>
            <w:vAlign w:val="bottom"/>
            <w:hideMark/>
          </w:tcPr>
          <w:p w14:paraId="44F15ED2"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7ACF6BFD"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026EB09D"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6B7A397F"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59DBAEF5" w14:textId="77777777" w:rsidTr="00F52D42">
        <w:trPr>
          <w:trHeight w:val="255"/>
        </w:trPr>
        <w:tc>
          <w:tcPr>
            <w:tcW w:w="1174" w:type="dxa"/>
            <w:shd w:val="clear" w:color="auto" w:fill="auto"/>
            <w:noWrap/>
            <w:vAlign w:val="bottom"/>
            <w:hideMark/>
          </w:tcPr>
          <w:p w14:paraId="57E275F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#9</w:t>
            </w:r>
          </w:p>
        </w:tc>
        <w:tc>
          <w:tcPr>
            <w:tcW w:w="266" w:type="dxa"/>
            <w:shd w:val="clear" w:color="auto" w:fill="auto"/>
            <w:noWrap/>
            <w:vAlign w:val="bottom"/>
            <w:hideMark/>
          </w:tcPr>
          <w:p w14:paraId="25D368E2"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3A6B60C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446C480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0913DB9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60819F94" w14:textId="77777777" w:rsidTr="00F52D42">
        <w:trPr>
          <w:trHeight w:val="255"/>
        </w:trPr>
        <w:tc>
          <w:tcPr>
            <w:tcW w:w="1174" w:type="dxa"/>
            <w:shd w:val="clear" w:color="auto" w:fill="auto"/>
            <w:noWrap/>
            <w:vAlign w:val="bottom"/>
            <w:hideMark/>
          </w:tcPr>
          <w:p w14:paraId="5BD3BFF3"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266" w:type="dxa"/>
            <w:shd w:val="clear" w:color="auto" w:fill="auto"/>
            <w:noWrap/>
            <w:vAlign w:val="bottom"/>
            <w:hideMark/>
          </w:tcPr>
          <w:p w14:paraId="6577AA09"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3AC31687"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69440B2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726D2717"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43C76532" w14:textId="77777777" w:rsidTr="00F52D42">
        <w:trPr>
          <w:trHeight w:val="255"/>
        </w:trPr>
        <w:tc>
          <w:tcPr>
            <w:tcW w:w="1174" w:type="dxa"/>
            <w:shd w:val="clear" w:color="auto" w:fill="auto"/>
            <w:noWrap/>
            <w:vAlign w:val="bottom"/>
            <w:hideMark/>
          </w:tcPr>
          <w:p w14:paraId="67D3E547" w14:textId="77777777" w:rsidR="00462FC1" w:rsidRPr="001561FD" w:rsidRDefault="00462FC1"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Total</w:t>
            </w:r>
          </w:p>
        </w:tc>
        <w:tc>
          <w:tcPr>
            <w:tcW w:w="266" w:type="dxa"/>
            <w:shd w:val="clear" w:color="auto" w:fill="auto"/>
            <w:noWrap/>
            <w:vAlign w:val="bottom"/>
            <w:hideMark/>
          </w:tcPr>
          <w:p w14:paraId="470FBFF1" w14:textId="77777777" w:rsidR="00462FC1" w:rsidRPr="001561FD" w:rsidRDefault="00462FC1" w:rsidP="00DE3851">
            <w:pPr>
              <w:spacing w:after="0" w:line="240" w:lineRule="auto"/>
              <w:rPr>
                <w:rFonts w:ascii="Garamond" w:eastAsia="Times New Roman" w:hAnsi="Garamond" w:cs="Arial"/>
                <w:color w:val="000000" w:themeColor="text1"/>
              </w:rPr>
            </w:pPr>
          </w:p>
        </w:tc>
        <w:tc>
          <w:tcPr>
            <w:tcW w:w="1115" w:type="dxa"/>
            <w:shd w:val="clear" w:color="auto" w:fill="auto"/>
            <w:noWrap/>
            <w:vAlign w:val="bottom"/>
            <w:hideMark/>
          </w:tcPr>
          <w:p w14:paraId="424350A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120</w:t>
            </w:r>
          </w:p>
        </w:tc>
        <w:tc>
          <w:tcPr>
            <w:tcW w:w="1760" w:type="dxa"/>
            <w:shd w:val="clear" w:color="auto" w:fill="auto"/>
            <w:noWrap/>
            <w:vAlign w:val="bottom"/>
            <w:hideMark/>
          </w:tcPr>
          <w:p w14:paraId="2B79D0D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100.0</w:t>
            </w:r>
          </w:p>
        </w:tc>
        <w:tc>
          <w:tcPr>
            <w:tcW w:w="1895" w:type="dxa"/>
            <w:shd w:val="clear" w:color="auto" w:fill="auto"/>
            <w:noWrap/>
            <w:vAlign w:val="bottom"/>
            <w:hideMark/>
          </w:tcPr>
          <w:p w14:paraId="7B4C939A" w14:textId="77777777" w:rsidR="00462FC1" w:rsidRPr="001561FD" w:rsidRDefault="00462FC1" w:rsidP="00DE3851">
            <w:pPr>
              <w:spacing w:after="0" w:line="240" w:lineRule="auto"/>
              <w:jc w:val="right"/>
              <w:rPr>
                <w:rFonts w:ascii="Garamond" w:eastAsia="Times New Roman" w:hAnsi="Garamond" w:cs="Arial"/>
                <w:b/>
                <w:bCs/>
                <w:color w:val="000000" w:themeColor="text1"/>
              </w:rPr>
            </w:pPr>
            <w:r w:rsidRPr="001561FD">
              <w:rPr>
                <w:rFonts w:ascii="Garamond" w:eastAsia="Times New Roman" w:hAnsi="Garamond" w:cs="Arial"/>
                <w:b/>
                <w:bCs/>
                <w:color w:val="000000" w:themeColor="text1"/>
              </w:rPr>
              <w:t>1250.0</w:t>
            </w:r>
          </w:p>
        </w:tc>
      </w:tr>
    </w:tbl>
    <w:p w14:paraId="13F4AB6C" w14:textId="77777777" w:rsidR="00F52D42" w:rsidRDefault="00F52D42" w:rsidP="00F52D42">
      <w:pPr>
        <w:jc w:val="both"/>
        <w:rPr>
          <w:rFonts w:ascii="Garamond" w:hAnsi="Garamond"/>
          <w:color w:val="000000" w:themeColor="text1"/>
          <w:sz w:val="24"/>
          <w:szCs w:val="24"/>
        </w:rPr>
      </w:pPr>
    </w:p>
    <w:p w14:paraId="30FE4403" w14:textId="502C3523" w:rsidR="00462FC1" w:rsidRPr="001561FD" w:rsidRDefault="00462FC1" w:rsidP="00F52D42">
      <w:pPr>
        <w:ind w:left="810"/>
        <w:jc w:val="both"/>
        <w:rPr>
          <w:rFonts w:ascii="Garamond" w:hAnsi="Garamond"/>
          <w:color w:val="000000" w:themeColor="text1"/>
          <w:sz w:val="24"/>
          <w:szCs w:val="24"/>
        </w:rPr>
      </w:pPr>
      <w:r w:rsidRPr="001561FD">
        <w:rPr>
          <w:rFonts w:ascii="Garamond" w:hAnsi="Garamond"/>
          <w:color w:val="000000" w:themeColor="text1"/>
          <w:sz w:val="24"/>
          <w:szCs w:val="24"/>
        </w:rPr>
        <w:t xml:space="preserve">Suppose that in a roll-up merger company #1 acquires companies #2. Please calculate the new Hirschman-Herfindahl Index (HHI). Next, suppose that company #1 further announces an acquisition of company #3. Will that be allowed by the FTC and The Department of Justice? Please show your work. </w:t>
      </w:r>
      <w:r w:rsidR="00C26288">
        <w:rPr>
          <w:rFonts w:ascii="Garamond" w:hAnsi="Garamond"/>
          <w:color w:val="000000" w:themeColor="text1"/>
          <w:sz w:val="24"/>
          <w:szCs w:val="24"/>
        </w:rPr>
        <w:t>(</w:t>
      </w:r>
      <w:r w:rsidRPr="001561FD">
        <w:rPr>
          <w:rFonts w:ascii="Garamond" w:hAnsi="Garamond"/>
          <w:i/>
          <w:color w:val="000000" w:themeColor="text1"/>
          <w:sz w:val="24"/>
          <w:szCs w:val="24"/>
        </w:rPr>
        <w:t>Hint: please follow the method presented in Excel file “HHI Example.xls” to solve this question.</w:t>
      </w:r>
      <w:r w:rsidR="00C26288">
        <w:rPr>
          <w:rFonts w:ascii="Garamond" w:hAnsi="Garamond"/>
          <w:i/>
          <w:color w:val="000000" w:themeColor="text1"/>
          <w:sz w:val="24"/>
          <w:szCs w:val="24"/>
        </w:rPr>
        <w:t>)</w:t>
      </w:r>
    </w:p>
    <w:sectPr w:rsidR="00462FC1" w:rsidRPr="001561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63A2" w14:textId="77777777" w:rsidR="00CB7125" w:rsidRDefault="00CB7125" w:rsidP="0011352B">
      <w:pPr>
        <w:spacing w:after="0" w:line="240" w:lineRule="auto"/>
      </w:pPr>
      <w:r>
        <w:separator/>
      </w:r>
    </w:p>
  </w:endnote>
  <w:endnote w:type="continuationSeparator" w:id="0">
    <w:p w14:paraId="5E16BA67" w14:textId="77777777" w:rsidR="00CB7125" w:rsidRDefault="00CB7125" w:rsidP="0011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85147"/>
      <w:docPartObj>
        <w:docPartGallery w:val="Page Numbers (Bottom of Page)"/>
        <w:docPartUnique/>
      </w:docPartObj>
    </w:sdtPr>
    <w:sdtEndPr>
      <w:rPr>
        <w:noProof/>
      </w:rPr>
    </w:sdtEndPr>
    <w:sdtContent>
      <w:p w14:paraId="65E1AA3F" w14:textId="77777777" w:rsidR="00B071F1" w:rsidRDefault="00B071F1">
        <w:pPr>
          <w:pStyle w:val="Footer"/>
          <w:jc w:val="right"/>
        </w:pPr>
        <w:r>
          <w:fldChar w:fldCharType="begin"/>
        </w:r>
        <w:r>
          <w:instrText xml:space="preserve"> PAGE   \* MERGEFORMAT </w:instrText>
        </w:r>
        <w:r>
          <w:fldChar w:fldCharType="separate"/>
        </w:r>
        <w:r w:rsidR="002E7FAF">
          <w:rPr>
            <w:noProof/>
          </w:rPr>
          <w:t>9</w:t>
        </w:r>
        <w:r>
          <w:rPr>
            <w:noProof/>
          </w:rPr>
          <w:fldChar w:fldCharType="end"/>
        </w:r>
      </w:p>
    </w:sdtContent>
  </w:sdt>
  <w:p w14:paraId="1D4D14E5" w14:textId="77777777" w:rsidR="00B071F1" w:rsidRDefault="00B0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ABA4" w14:textId="77777777" w:rsidR="00CB7125" w:rsidRDefault="00CB7125" w:rsidP="0011352B">
      <w:pPr>
        <w:spacing w:after="0" w:line="240" w:lineRule="auto"/>
      </w:pPr>
      <w:r>
        <w:separator/>
      </w:r>
    </w:p>
  </w:footnote>
  <w:footnote w:type="continuationSeparator" w:id="0">
    <w:p w14:paraId="12F50895" w14:textId="77777777" w:rsidR="00CB7125" w:rsidRDefault="00CB7125" w:rsidP="0011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14CA" w14:textId="313A3B96" w:rsidR="00B071F1" w:rsidRPr="00F23259" w:rsidRDefault="00FA02AB" w:rsidP="007F6EFF">
    <w:pPr>
      <w:pStyle w:val="Header"/>
      <w:rPr>
        <w:rFonts w:ascii="Garamond" w:hAnsi="Garamond"/>
        <w:sz w:val="24"/>
        <w:szCs w:val="24"/>
      </w:rPr>
    </w:pPr>
    <w:r>
      <w:rPr>
        <w:rFonts w:ascii="Garamond" w:hAnsi="Garamond"/>
        <w:sz w:val="24"/>
        <w:szCs w:val="24"/>
      </w:rPr>
      <w:t>EMAD 5442</w:t>
    </w:r>
    <w:r w:rsidR="00B071F1" w:rsidRPr="00F23259">
      <w:rPr>
        <w:rFonts w:ascii="Garamond" w:hAnsi="Garamond"/>
        <w:sz w:val="24"/>
        <w:szCs w:val="24"/>
      </w:rPr>
      <w:t>, Mergers &amp; Acquisitions</w:t>
    </w:r>
    <w:r>
      <w:rPr>
        <w:rFonts w:ascii="Garamond" w:hAnsi="Garamond"/>
        <w:sz w:val="24"/>
        <w:szCs w:val="24"/>
      </w:rPr>
      <w:t xml:space="preserve"> in Aerospace and Defense</w:t>
    </w:r>
  </w:p>
  <w:p w14:paraId="289657D6" w14:textId="77777777" w:rsidR="00B071F1" w:rsidRDefault="00B07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B4C"/>
    <w:multiLevelType w:val="hybridMultilevel"/>
    <w:tmpl w:val="1962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93D25"/>
    <w:multiLevelType w:val="hybridMultilevel"/>
    <w:tmpl w:val="CFB87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056A"/>
    <w:multiLevelType w:val="hybridMultilevel"/>
    <w:tmpl w:val="0B180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7AC7"/>
    <w:multiLevelType w:val="hybridMultilevel"/>
    <w:tmpl w:val="C6684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C7999"/>
    <w:multiLevelType w:val="hybridMultilevel"/>
    <w:tmpl w:val="D58AC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C71B4"/>
    <w:multiLevelType w:val="hybridMultilevel"/>
    <w:tmpl w:val="ACB4EA3A"/>
    <w:lvl w:ilvl="0" w:tplc="46CEE3E8">
      <w:start w:val="1"/>
      <w:numFmt w:val="bullet"/>
      <w:lvlText w:val=""/>
      <w:lvlJc w:val="left"/>
      <w:pPr>
        <w:tabs>
          <w:tab w:val="num" w:pos="720"/>
        </w:tabs>
        <w:ind w:left="720" w:hanging="360"/>
      </w:pPr>
      <w:rPr>
        <w:rFonts w:ascii="Monotype Sorts" w:hAnsi="Monotype Sorts" w:hint="default"/>
      </w:rPr>
    </w:lvl>
    <w:lvl w:ilvl="1" w:tplc="E4B200CA" w:tentative="1">
      <w:start w:val="1"/>
      <w:numFmt w:val="bullet"/>
      <w:lvlText w:val=""/>
      <w:lvlJc w:val="left"/>
      <w:pPr>
        <w:tabs>
          <w:tab w:val="num" w:pos="1440"/>
        </w:tabs>
        <w:ind w:left="1440" w:hanging="360"/>
      </w:pPr>
      <w:rPr>
        <w:rFonts w:ascii="Monotype Sorts" w:hAnsi="Monotype Sorts" w:hint="default"/>
      </w:rPr>
    </w:lvl>
    <w:lvl w:ilvl="2" w:tplc="BF2C6D4A">
      <w:start w:val="1"/>
      <w:numFmt w:val="bullet"/>
      <w:lvlText w:val=""/>
      <w:lvlJc w:val="left"/>
      <w:pPr>
        <w:tabs>
          <w:tab w:val="num" w:pos="2160"/>
        </w:tabs>
        <w:ind w:left="2160" w:hanging="360"/>
      </w:pPr>
      <w:rPr>
        <w:rFonts w:ascii="Monotype Sorts" w:hAnsi="Monotype Sorts" w:hint="default"/>
      </w:rPr>
    </w:lvl>
    <w:lvl w:ilvl="3" w:tplc="44BC47B4" w:tentative="1">
      <w:start w:val="1"/>
      <w:numFmt w:val="bullet"/>
      <w:lvlText w:val=""/>
      <w:lvlJc w:val="left"/>
      <w:pPr>
        <w:tabs>
          <w:tab w:val="num" w:pos="2880"/>
        </w:tabs>
        <w:ind w:left="2880" w:hanging="360"/>
      </w:pPr>
      <w:rPr>
        <w:rFonts w:ascii="Monotype Sorts" w:hAnsi="Monotype Sorts" w:hint="default"/>
      </w:rPr>
    </w:lvl>
    <w:lvl w:ilvl="4" w:tplc="17D6CEAA" w:tentative="1">
      <w:start w:val="1"/>
      <w:numFmt w:val="bullet"/>
      <w:lvlText w:val=""/>
      <w:lvlJc w:val="left"/>
      <w:pPr>
        <w:tabs>
          <w:tab w:val="num" w:pos="3600"/>
        </w:tabs>
        <w:ind w:left="3600" w:hanging="360"/>
      </w:pPr>
      <w:rPr>
        <w:rFonts w:ascii="Monotype Sorts" w:hAnsi="Monotype Sorts" w:hint="default"/>
      </w:rPr>
    </w:lvl>
    <w:lvl w:ilvl="5" w:tplc="E8B6301C" w:tentative="1">
      <w:start w:val="1"/>
      <w:numFmt w:val="bullet"/>
      <w:lvlText w:val=""/>
      <w:lvlJc w:val="left"/>
      <w:pPr>
        <w:tabs>
          <w:tab w:val="num" w:pos="4320"/>
        </w:tabs>
        <w:ind w:left="4320" w:hanging="360"/>
      </w:pPr>
      <w:rPr>
        <w:rFonts w:ascii="Monotype Sorts" w:hAnsi="Monotype Sorts" w:hint="default"/>
      </w:rPr>
    </w:lvl>
    <w:lvl w:ilvl="6" w:tplc="F842BA16" w:tentative="1">
      <w:start w:val="1"/>
      <w:numFmt w:val="bullet"/>
      <w:lvlText w:val=""/>
      <w:lvlJc w:val="left"/>
      <w:pPr>
        <w:tabs>
          <w:tab w:val="num" w:pos="5040"/>
        </w:tabs>
        <w:ind w:left="5040" w:hanging="360"/>
      </w:pPr>
      <w:rPr>
        <w:rFonts w:ascii="Monotype Sorts" w:hAnsi="Monotype Sorts" w:hint="default"/>
      </w:rPr>
    </w:lvl>
    <w:lvl w:ilvl="7" w:tplc="7A00DBFC" w:tentative="1">
      <w:start w:val="1"/>
      <w:numFmt w:val="bullet"/>
      <w:lvlText w:val=""/>
      <w:lvlJc w:val="left"/>
      <w:pPr>
        <w:tabs>
          <w:tab w:val="num" w:pos="5760"/>
        </w:tabs>
        <w:ind w:left="5760" w:hanging="360"/>
      </w:pPr>
      <w:rPr>
        <w:rFonts w:ascii="Monotype Sorts" w:hAnsi="Monotype Sorts" w:hint="default"/>
      </w:rPr>
    </w:lvl>
    <w:lvl w:ilvl="8" w:tplc="EFAAEEEC" w:tentative="1">
      <w:start w:val="1"/>
      <w:numFmt w:val="bullet"/>
      <w:lvlText w:val=""/>
      <w:lvlJc w:val="left"/>
      <w:pPr>
        <w:tabs>
          <w:tab w:val="num" w:pos="6480"/>
        </w:tabs>
        <w:ind w:left="6480" w:hanging="360"/>
      </w:pPr>
      <w:rPr>
        <w:rFonts w:ascii="Monotype Sorts" w:hAnsi="Monotype Sorts" w:hint="default"/>
      </w:rPr>
    </w:lvl>
  </w:abstractNum>
  <w:abstractNum w:abstractNumId="6" w15:restartNumberingAfterBreak="0">
    <w:nsid w:val="505D5839"/>
    <w:multiLevelType w:val="hybridMultilevel"/>
    <w:tmpl w:val="1962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C3537"/>
    <w:multiLevelType w:val="hybridMultilevel"/>
    <w:tmpl w:val="AFDA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MzOzMLI0NjIwtrRU0lEKTi0uzszPAykwrwUAthQZYiwAAAA="/>
  </w:docVars>
  <w:rsids>
    <w:rsidRoot w:val="00DE30E5"/>
    <w:rsid w:val="00004BA1"/>
    <w:rsid w:val="00011B53"/>
    <w:rsid w:val="000534D9"/>
    <w:rsid w:val="0005610B"/>
    <w:rsid w:val="000B0603"/>
    <w:rsid w:val="000B18DD"/>
    <w:rsid w:val="000F308B"/>
    <w:rsid w:val="0010483C"/>
    <w:rsid w:val="00107148"/>
    <w:rsid w:val="0011352B"/>
    <w:rsid w:val="00116410"/>
    <w:rsid w:val="001561FD"/>
    <w:rsid w:val="001A1D72"/>
    <w:rsid w:val="001A7A24"/>
    <w:rsid w:val="001B6DA3"/>
    <w:rsid w:val="001F2B50"/>
    <w:rsid w:val="00214125"/>
    <w:rsid w:val="00266085"/>
    <w:rsid w:val="002905E8"/>
    <w:rsid w:val="002D4F3A"/>
    <w:rsid w:val="002E53FA"/>
    <w:rsid w:val="002E7FAF"/>
    <w:rsid w:val="0031191E"/>
    <w:rsid w:val="00322FCA"/>
    <w:rsid w:val="0034245B"/>
    <w:rsid w:val="00375C11"/>
    <w:rsid w:val="003A467A"/>
    <w:rsid w:val="003C5FA3"/>
    <w:rsid w:val="003F2873"/>
    <w:rsid w:val="00401DC1"/>
    <w:rsid w:val="00425F0E"/>
    <w:rsid w:val="0043601B"/>
    <w:rsid w:val="00462FC1"/>
    <w:rsid w:val="00481596"/>
    <w:rsid w:val="004B318E"/>
    <w:rsid w:val="004B4CDA"/>
    <w:rsid w:val="004C3EE5"/>
    <w:rsid w:val="004C5422"/>
    <w:rsid w:val="005018BB"/>
    <w:rsid w:val="0052754E"/>
    <w:rsid w:val="005279EA"/>
    <w:rsid w:val="00532681"/>
    <w:rsid w:val="005B7CCC"/>
    <w:rsid w:val="005C32F5"/>
    <w:rsid w:val="00611373"/>
    <w:rsid w:val="006608C8"/>
    <w:rsid w:val="006712DF"/>
    <w:rsid w:val="00693C7D"/>
    <w:rsid w:val="006C70CB"/>
    <w:rsid w:val="006D56E9"/>
    <w:rsid w:val="006E3F24"/>
    <w:rsid w:val="00705442"/>
    <w:rsid w:val="007A1B29"/>
    <w:rsid w:val="007D2982"/>
    <w:rsid w:val="007E1C0D"/>
    <w:rsid w:val="007F6EFF"/>
    <w:rsid w:val="008308CB"/>
    <w:rsid w:val="0084662B"/>
    <w:rsid w:val="008B2F61"/>
    <w:rsid w:val="008D1249"/>
    <w:rsid w:val="0090775D"/>
    <w:rsid w:val="00907A83"/>
    <w:rsid w:val="00971268"/>
    <w:rsid w:val="00996530"/>
    <w:rsid w:val="009B543E"/>
    <w:rsid w:val="009B61D4"/>
    <w:rsid w:val="009B7DEC"/>
    <w:rsid w:val="00A0053D"/>
    <w:rsid w:val="00A0341F"/>
    <w:rsid w:val="00A157AD"/>
    <w:rsid w:val="00A16AA9"/>
    <w:rsid w:val="00A35B68"/>
    <w:rsid w:val="00A73E31"/>
    <w:rsid w:val="00AB65F6"/>
    <w:rsid w:val="00B071F1"/>
    <w:rsid w:val="00B27CE8"/>
    <w:rsid w:val="00B304A6"/>
    <w:rsid w:val="00B41163"/>
    <w:rsid w:val="00B4592C"/>
    <w:rsid w:val="00B90750"/>
    <w:rsid w:val="00BC32E6"/>
    <w:rsid w:val="00C049F3"/>
    <w:rsid w:val="00C26288"/>
    <w:rsid w:val="00C32EFD"/>
    <w:rsid w:val="00C831F3"/>
    <w:rsid w:val="00C864DC"/>
    <w:rsid w:val="00C943A9"/>
    <w:rsid w:val="00CB7125"/>
    <w:rsid w:val="00CC7326"/>
    <w:rsid w:val="00D02F5E"/>
    <w:rsid w:val="00D5143B"/>
    <w:rsid w:val="00D973F0"/>
    <w:rsid w:val="00DC7C7D"/>
    <w:rsid w:val="00DE30E5"/>
    <w:rsid w:val="00DF5C9B"/>
    <w:rsid w:val="00E42F5C"/>
    <w:rsid w:val="00EE6E33"/>
    <w:rsid w:val="00F009AE"/>
    <w:rsid w:val="00F07691"/>
    <w:rsid w:val="00F3486E"/>
    <w:rsid w:val="00F4146C"/>
    <w:rsid w:val="00F52D42"/>
    <w:rsid w:val="00F612BD"/>
    <w:rsid w:val="00FA02AB"/>
    <w:rsid w:val="00FC75B6"/>
    <w:rsid w:val="00FD1C48"/>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3BC5"/>
  <w15:chartTrackingRefBased/>
  <w15:docId w15:val="{24767F4A-D5CB-466B-8B89-CCB33087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2B"/>
  </w:style>
  <w:style w:type="paragraph" w:styleId="Footer">
    <w:name w:val="footer"/>
    <w:basedOn w:val="Normal"/>
    <w:link w:val="FooterChar"/>
    <w:uiPriority w:val="99"/>
    <w:unhideWhenUsed/>
    <w:rsid w:val="0011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2B"/>
  </w:style>
  <w:style w:type="table" w:styleId="TableGrid">
    <w:name w:val="Table Grid"/>
    <w:basedOn w:val="TableNormal"/>
    <w:uiPriority w:val="39"/>
    <w:rsid w:val="00AB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67A"/>
    <w:pPr>
      <w:ind w:left="720"/>
      <w:contextualSpacing/>
    </w:pPr>
  </w:style>
  <w:style w:type="paragraph" w:styleId="NormalWeb">
    <w:name w:val="Normal (Web)"/>
    <w:basedOn w:val="Normal"/>
    <w:uiPriority w:val="99"/>
    <w:semiHidden/>
    <w:unhideWhenUsed/>
    <w:rsid w:val="008D1249"/>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846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62B"/>
    <w:rPr>
      <w:sz w:val="20"/>
      <w:szCs w:val="20"/>
    </w:rPr>
  </w:style>
  <w:style w:type="character" w:styleId="FootnoteReference">
    <w:name w:val="footnote reference"/>
    <w:basedOn w:val="DefaultParagraphFont"/>
    <w:uiPriority w:val="99"/>
    <w:semiHidden/>
    <w:unhideWhenUsed/>
    <w:rsid w:val="00846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1306">
      <w:bodyDiv w:val="1"/>
      <w:marLeft w:val="0"/>
      <w:marRight w:val="0"/>
      <w:marTop w:val="0"/>
      <w:marBottom w:val="0"/>
      <w:divBdr>
        <w:top w:val="none" w:sz="0" w:space="0" w:color="auto"/>
        <w:left w:val="none" w:sz="0" w:space="0" w:color="auto"/>
        <w:bottom w:val="none" w:sz="0" w:space="0" w:color="auto"/>
        <w:right w:val="none" w:sz="0" w:space="0" w:color="auto"/>
      </w:divBdr>
    </w:div>
    <w:div w:id="238712668">
      <w:bodyDiv w:val="1"/>
      <w:marLeft w:val="0"/>
      <w:marRight w:val="0"/>
      <w:marTop w:val="0"/>
      <w:marBottom w:val="0"/>
      <w:divBdr>
        <w:top w:val="none" w:sz="0" w:space="0" w:color="auto"/>
        <w:left w:val="none" w:sz="0" w:space="0" w:color="auto"/>
        <w:bottom w:val="none" w:sz="0" w:space="0" w:color="auto"/>
        <w:right w:val="none" w:sz="0" w:space="0" w:color="auto"/>
      </w:divBdr>
    </w:div>
    <w:div w:id="382480910">
      <w:bodyDiv w:val="1"/>
      <w:marLeft w:val="0"/>
      <w:marRight w:val="0"/>
      <w:marTop w:val="0"/>
      <w:marBottom w:val="0"/>
      <w:divBdr>
        <w:top w:val="none" w:sz="0" w:space="0" w:color="auto"/>
        <w:left w:val="none" w:sz="0" w:space="0" w:color="auto"/>
        <w:bottom w:val="none" w:sz="0" w:space="0" w:color="auto"/>
        <w:right w:val="none" w:sz="0" w:space="0" w:color="auto"/>
      </w:divBdr>
      <w:divsChild>
        <w:div w:id="1758476773">
          <w:marLeft w:val="2160"/>
          <w:marRight w:val="0"/>
          <w:marTop w:val="96"/>
          <w:marBottom w:val="0"/>
          <w:divBdr>
            <w:top w:val="none" w:sz="0" w:space="0" w:color="auto"/>
            <w:left w:val="none" w:sz="0" w:space="0" w:color="auto"/>
            <w:bottom w:val="none" w:sz="0" w:space="0" w:color="auto"/>
            <w:right w:val="none" w:sz="0" w:space="0" w:color="auto"/>
          </w:divBdr>
        </w:div>
      </w:divsChild>
    </w:div>
    <w:div w:id="653409738">
      <w:bodyDiv w:val="1"/>
      <w:marLeft w:val="0"/>
      <w:marRight w:val="0"/>
      <w:marTop w:val="0"/>
      <w:marBottom w:val="0"/>
      <w:divBdr>
        <w:top w:val="none" w:sz="0" w:space="0" w:color="auto"/>
        <w:left w:val="none" w:sz="0" w:space="0" w:color="auto"/>
        <w:bottom w:val="none" w:sz="0" w:space="0" w:color="auto"/>
        <w:right w:val="none" w:sz="0" w:space="0" w:color="auto"/>
      </w:divBdr>
    </w:div>
    <w:div w:id="876309092">
      <w:bodyDiv w:val="1"/>
      <w:marLeft w:val="0"/>
      <w:marRight w:val="0"/>
      <w:marTop w:val="0"/>
      <w:marBottom w:val="0"/>
      <w:divBdr>
        <w:top w:val="none" w:sz="0" w:space="0" w:color="auto"/>
        <w:left w:val="none" w:sz="0" w:space="0" w:color="auto"/>
        <w:bottom w:val="none" w:sz="0" w:space="0" w:color="auto"/>
        <w:right w:val="none" w:sz="0" w:space="0" w:color="auto"/>
      </w:divBdr>
    </w:div>
    <w:div w:id="919874727">
      <w:bodyDiv w:val="1"/>
      <w:marLeft w:val="0"/>
      <w:marRight w:val="0"/>
      <w:marTop w:val="0"/>
      <w:marBottom w:val="0"/>
      <w:divBdr>
        <w:top w:val="none" w:sz="0" w:space="0" w:color="auto"/>
        <w:left w:val="none" w:sz="0" w:space="0" w:color="auto"/>
        <w:bottom w:val="none" w:sz="0" w:space="0" w:color="auto"/>
        <w:right w:val="none" w:sz="0" w:space="0" w:color="auto"/>
      </w:divBdr>
    </w:div>
    <w:div w:id="1576427592">
      <w:bodyDiv w:val="1"/>
      <w:marLeft w:val="0"/>
      <w:marRight w:val="0"/>
      <w:marTop w:val="0"/>
      <w:marBottom w:val="0"/>
      <w:divBdr>
        <w:top w:val="none" w:sz="0" w:space="0" w:color="auto"/>
        <w:left w:val="none" w:sz="0" w:space="0" w:color="auto"/>
        <w:bottom w:val="none" w:sz="0" w:space="0" w:color="auto"/>
        <w:right w:val="none" w:sz="0" w:space="0" w:color="auto"/>
      </w:divBdr>
    </w:div>
    <w:div w:id="1817642775">
      <w:bodyDiv w:val="1"/>
      <w:marLeft w:val="0"/>
      <w:marRight w:val="0"/>
      <w:marTop w:val="0"/>
      <w:marBottom w:val="0"/>
      <w:divBdr>
        <w:top w:val="none" w:sz="0" w:space="0" w:color="auto"/>
        <w:left w:val="none" w:sz="0" w:space="0" w:color="auto"/>
        <w:bottom w:val="none" w:sz="0" w:space="0" w:color="auto"/>
        <w:right w:val="none" w:sz="0" w:space="0" w:color="auto"/>
      </w:divBdr>
    </w:div>
    <w:div w:id="21326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BCBC-7240-4F12-91EA-A4D5B476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6762</TotalTime>
  <Pages>6</Pages>
  <Words>1413</Words>
  <Characters>7815</Characters>
  <Application>Microsoft Office Word</Application>
  <DocSecurity>0</DocSecurity>
  <Lines>312</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Litov</dc:creator>
  <cp:keywords/>
  <dc:description/>
  <cp:lastModifiedBy>Litov, Lubomir P.</cp:lastModifiedBy>
  <cp:revision>47</cp:revision>
  <dcterms:created xsi:type="dcterms:W3CDTF">2016-12-10T15:53:00Z</dcterms:created>
  <dcterms:modified xsi:type="dcterms:W3CDTF">2021-05-30T00:53:00Z</dcterms:modified>
</cp:coreProperties>
</file>